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tbl>
      <w:tblPr>
        <w:tblStyle w:val="TableGrid"/>
        <w:tblW w:w="5000" w:type="pct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10205"/>
      </w:tblGrid>
      <w:tr>
        <w:trPr>
          <w:trHeight w:val="1701"/>
        </w:trPr>
        <w:tc>
          <w:tcPr>
            <w:cnfStyle w:val="101000000000"/>
            <w:tcW w:w="0" w:type="auto"/>
          </w:tcPr>
          <w:p w14:paraId="00000005">
            <w:pPr>
              <w:pBdr>
                <w:bottom w:val="single" w:color="auto" w:sz="12" w:space="1"/>
              </w:pBdr>
              <w:tabs>
                <w:tab w:val="left" w:pos="4678"/>
              </w:tabs>
              <w:ind w:right="-1"/>
              <w:jc w:val="center"/>
              <w:rPr>
                <w:rFonts w:ascii="Times New Roman" w:cs="Times New Roman" w:hAnsi="Times New Roman"/>
                <w:b/>
                <w:color w:val="000000"/>
              </w:rPr>
            </w:pPr>
            <w:r>
              <w:rPr>
                <w:rFonts w:ascii="Times New Roman" w:cs="Times New Roman" w:hAnsi="Times New Roman"/>
                <w:lang w:eastAsia="ru-RU"/>
              </w:rPr>
              <w:drawing xmlns:mc="http://schemas.openxmlformats.org/markup-compatibility/2006">
                <wp:inline distT="0" distB="0" distL="0" distR="0">
                  <wp:extent cx="1152525" cy="320767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2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00006">
            <w:pPr>
              <w:pStyle w:val="MessageHead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Общество с ограниченной ответственностью «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Скайори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»</w:t>
            </w:r>
          </w:p>
          <w:p w14:paraId="00000007">
            <w:pPr>
              <w:pStyle w:val="MessageHeader"/>
              <w:rPr>
                <w:rFonts w:ascii="Times New Roman" w:cs="Times New Roman" w:hAnsi="Times New Roman"/>
                <w:b w:val="off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 w:val="off"/>
                <w:sz w:val="24"/>
                <w:szCs w:val="24"/>
              </w:rPr>
              <w:t>(ООО «</w:t>
            </w:r>
            <w:r>
              <w:rPr>
                <w:rFonts w:ascii="Times New Roman" w:cs="Times New Roman" w:hAnsi="Times New Roman"/>
                <w:b w:val="off"/>
                <w:sz w:val="24"/>
                <w:szCs w:val="24"/>
              </w:rPr>
              <w:t>Скайори</w:t>
            </w:r>
            <w:r>
              <w:rPr>
                <w:rFonts w:ascii="Times New Roman" w:cs="Times New Roman" w:hAnsi="Times New Roman"/>
                <w:b w:val="off"/>
                <w:sz w:val="24"/>
                <w:szCs w:val="24"/>
              </w:rPr>
              <w:t>»)</w:t>
            </w:r>
          </w:p>
          <w:p w14:paraId="00000008">
            <w:pPr>
              <w:pStyle w:val="MessageHeader"/>
              <w:rPr>
                <w:rFonts w:ascii="Times New Roman" w:cs="Times New Roman" w:hAnsi="Times New Roman"/>
                <w:b w:val="off"/>
                <w:i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 w:val="off"/>
                <w:i/>
                <w:sz w:val="24"/>
                <w:szCs w:val="24"/>
              </w:rPr>
              <w:t xml:space="preserve">Шоссе Космонавтов, д.111И к1, </w:t>
            </w:r>
            <w:r>
              <w:rPr>
                <w:rFonts w:ascii="Times New Roman" w:cs="Times New Roman" w:hAnsi="Times New Roman"/>
                <w:b w:val="off"/>
                <w:i/>
                <w:sz w:val="24"/>
                <w:szCs w:val="24"/>
              </w:rPr>
              <w:t>помещ</w:t>
            </w:r>
            <w:r>
              <w:rPr>
                <w:rFonts w:ascii="Times New Roman" w:cs="Times New Roman" w:hAnsi="Times New Roman"/>
                <w:b w:val="off"/>
                <w:i/>
                <w:sz w:val="24"/>
                <w:szCs w:val="24"/>
              </w:rPr>
              <w:t>. 77, Пермь, 614066</w:t>
            </w:r>
          </w:p>
          <w:p w14:paraId="00000009">
            <w:pPr>
              <w:pStyle w:val="MessageHeader"/>
              <w:rPr>
                <w:i/>
              </w:rPr>
            </w:pPr>
            <w:r>
              <w:rPr>
                <w:rFonts w:ascii="Times New Roman" w:cs="Times New Roman" w:hAnsi="Times New Roman"/>
                <w:b w:val="off"/>
                <w:i/>
                <w:sz w:val="24"/>
                <w:szCs w:val="24"/>
              </w:rPr>
              <w:t>ОГРН 1195958032181, ИНН 5905061802, КПП 590501001</w:t>
            </w:r>
            <w:bookmarkStart w:id="0" w:name="_heading=h.gjdgxs"/>
            <w:bookmarkEnd w:id="0"/>
          </w:p>
          <w:p w14:paraId="0000000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rPr>
          <w:trHeight w:val="3969"/>
        </w:trPr>
        <w:tc>
          <w:tcPr>
            <w:cnfStyle w:val="001000100000"/>
            <w:tcW w:w="0" w:type="auto"/>
            <w:vAlign w:val="bottom"/>
          </w:tcPr>
          <w:p w14:paraId="0000000B">
            <w:pPr>
              <w:pStyle w:val="Титул"/>
              <w:rPr>
                <w:sz w:val="28"/>
                <w:szCs w:val="28"/>
              </w:rPr>
            </w:pPr>
            <w:r>
              <w:t xml:space="preserve">Геоинформационная платформа </w:t>
            </w:r>
            <w:r>
              <w:rPr>
                <w:lang w:val="en-US"/>
              </w:rPr>
              <w:t xml:space="preserve">Skyori </w:t>
            </w:r>
            <w:r>
              <w:rPr>
                <w:lang w:val="en-US"/>
              </w:rPr>
              <w:t>GIS</w:t>
            </w:r>
          </w:p>
        </w:tc>
      </w:tr>
      <w:tr>
        <w:trPr>
          <w:trHeight w:val="3969"/>
        </w:trPr>
        <w:tc>
          <w:tcPr>
            <w:cnfStyle w:val="001000010000"/>
            <w:tcW w:w="0" w:type="auto"/>
          </w:tcPr>
          <w:p w14:paraId="0000000C">
            <w:pPr>
              <w:pStyle w:val="Титул"/>
              <w:rPr>
                <w:b/>
              </w:rPr>
            </w:pPr>
            <w:r>
              <w:rPr>
                <w:b/>
              </w:rPr>
              <w:t>Инструкция по техническому сопровождению</w:t>
            </w:r>
          </w:p>
        </w:tc>
      </w:tr>
      <w:tr>
        <w:trPr>
          <w:trHeight w:val="567"/>
        </w:trPr>
        <w:tc>
          <w:tcPr>
            <w:cnfStyle w:val="001000100000"/>
            <w:tcW w:w="0" w:type="auto"/>
            <w:vAlign w:val="center"/>
          </w:tcPr>
          <w:p w14:paraId="0000000D">
            <w:pPr>
              <w:pStyle w:val="Титул"/>
              <w:rPr/>
            </w:pPr>
            <w:r>
              <w:rPr>
                <w:sz w:val="28"/>
              </w:rPr>
              <w:t xml:space="preserve">Листов </w:t>
            </w:r>
            <w:r>
              <w:fldChar w:fldCharType="begin"/>
            </w:r>
            <w:r>
              <w:instrText xml:space="preserve"> numpages </w:instrText>
            </w:r>
            <w:r>
              <w:fldChar w:fldCharType="separate"/>
            </w:r>
            <w:r>
              <w:rPr>
                <w:sz w:val="28"/>
                <w:lang w:val="en-US"/>
              </w:rPr>
              <w:t>9</w:t>
            </w:r>
            <w:r>
              <w:fldChar w:fldCharType="end"/>
            </w:r>
          </w:p>
        </w:tc>
      </w:tr>
      <w:tr>
        <w:trPr>
          <w:trHeight w:val="4025"/>
        </w:trPr>
        <w:tc>
          <w:tcPr>
            <w:cnfStyle w:val="001000010000"/>
            <w:tcW w:w="0" w:type="auto"/>
            <w:vAlign w:val="bottom"/>
          </w:tcPr>
          <w:p w14:paraId="0000000E">
            <w:pPr>
              <w:pStyle w:val="Титул"/>
              <w:rPr/>
            </w:pPr>
            <w:r>
              <w:rPr>
                <w:sz w:val="28"/>
              </w:rPr>
              <w:t>Пермь, 2025</w:t>
            </w:r>
          </w:p>
        </w:tc>
      </w:tr>
    </w:tbl>
    <w:p w14:paraId="0000000F">
      <w:pPr>
        <w:pStyle w:val="Heading1"/>
        <w:numPr>
          <w:ilvl w:val="0"/>
          <w:numId w:val="0"/>
        </w:numPr>
        <w:ind w:left="851"/>
        <w:rPr/>
        <w:sectPr>
          <w:footerReference w:type="default" r:id="rId28"/>
          <w:footerReference w:type="first" r:id="rId29"/>
          <w:pgSz w:w="11906" w:h="16838"/>
          <w:pgMar w:top="1134" w:right="567" w:bottom="1134" w:left="1134" w:header="567" w:footer="567" w:gutter="0"/>
          <w:cols w:space="708"/>
          <w:titlePg/>
        </w:sectPr>
      </w:pPr>
    </w:p>
    <w:p w14:paraId="00000010">
      <w:pPr>
        <w:pStyle w:val="Heading1"/>
        <w:rPr/>
      </w:pPr>
      <w:r>
        <w:t>Назначение инструкции</w:t>
      </w:r>
    </w:p>
    <w:p w14:paraId="00000011">
      <w:pPr>
        <w:pStyle w:val="Текстдокумента"/>
        <w:rPr/>
      </w:pPr>
      <w:r>
        <w:t xml:space="preserve">Инструкция по техническому сопровождению </w:t>
      </w:r>
      <w:r>
        <w:t>геоинформационной платформы</w:t>
      </w:r>
      <w:r>
        <w:t xml:space="preserve"> </w:t>
      </w:r>
      <w:r>
        <w:rPr>
          <w:lang w:val="en-US"/>
        </w:rPr>
        <w:t>Skyori GIS</w:t>
      </w:r>
      <w:r>
        <w:t xml:space="preserve"> (далее – </w:t>
      </w:r>
      <w:r>
        <w:t>Скайори</w:t>
      </w:r>
      <w:r>
        <w:t xml:space="preserve"> ГИС) п</w:t>
      </w:r>
      <w:r>
        <w:t>редназначена для специалистов по техническом</w:t>
      </w:r>
      <w:r>
        <w:t>у сопровождению и эксплуатации. Инструкция</w:t>
      </w:r>
      <w:r>
        <w:t xml:space="preserve"> содержит порядок действий для мониторинга функционирования </w:t>
      </w:r>
      <w:r>
        <w:t>Скайори</w:t>
      </w:r>
      <w:r>
        <w:t xml:space="preserve"> ГИС</w:t>
      </w:r>
      <w:r>
        <w:t>.</w:t>
      </w:r>
    </w:p>
    <w:p w14:paraId="00000012">
      <w:pPr>
        <w:pStyle w:val="Текстдокумента"/>
        <w:rPr>
          <w:bCs/>
        </w:rPr>
      </w:pPr>
      <w:r>
        <w:t>Скайори</w:t>
      </w:r>
      <w:r>
        <w:t xml:space="preserve"> ГИС</w:t>
      </w:r>
      <w:r>
        <w:rPr>
          <w:bCs/>
        </w:rPr>
        <w:t xml:space="preserve"> </w:t>
      </w:r>
      <w:r>
        <w:rPr>
          <w:bCs/>
        </w:rPr>
        <w:t xml:space="preserve">представляет собой </w:t>
      </w:r>
      <w:r>
        <w:rPr>
          <w:bCs/>
        </w:rPr>
        <w:t xml:space="preserve">геоинформационную </w:t>
      </w:r>
      <w:r>
        <w:rPr>
          <w:bCs/>
        </w:rPr>
        <w:t>платформу</w:t>
      </w:r>
      <w:r>
        <w:rPr>
          <w:bCs/>
        </w:rPr>
        <w:t>,</w:t>
      </w:r>
      <w:r>
        <w:rPr>
          <w:bCs/>
        </w:rPr>
        <w:t xml:space="preserve"> предназначенную </w:t>
      </w:r>
      <w:r>
        <w:rPr>
          <w:bCs/>
        </w:rPr>
        <w:t xml:space="preserve">для информационной поддержки и </w:t>
      </w:r>
      <w:r>
        <w:rPr>
          <w:bCs/>
        </w:rPr>
        <w:t>автоматизации</w:t>
      </w:r>
      <w:r>
        <w:rPr>
          <w:bCs/>
        </w:rPr>
        <w:t xml:space="preserve"> процессов</w:t>
      </w:r>
      <w:r>
        <w:rPr>
          <w:bCs/>
        </w:rPr>
        <w:t>, в рамках которых создают, изменяют, анализируют</w:t>
      </w:r>
      <w:r>
        <w:rPr>
          <w:bCs/>
        </w:rPr>
        <w:t xml:space="preserve"> и</w:t>
      </w:r>
      <w:r>
        <w:rPr>
          <w:bCs/>
        </w:rPr>
        <w:t xml:space="preserve"> предоставляют пространственные данные</w:t>
      </w:r>
      <w:r>
        <w:rPr>
          <w:bCs/>
        </w:rPr>
        <w:t>.</w:t>
      </w:r>
    </w:p>
    <w:p w14:paraId="00000013">
      <w:pPr>
        <w:pStyle w:val="Текстдокумента"/>
        <w:rPr>
          <w:bCs/>
        </w:rPr>
      </w:pPr>
      <w:r>
        <w:rPr>
          <w:bCs/>
        </w:rPr>
        <w:t>Скайори</w:t>
      </w:r>
      <w:r>
        <w:rPr>
          <w:bCs/>
        </w:rPr>
        <w:t xml:space="preserve"> ГИС обеспечивает </w:t>
      </w:r>
      <w:r>
        <w:rPr>
          <w:bCs/>
        </w:rPr>
        <w:t>следующие возможности:</w:t>
      </w:r>
    </w:p>
    <w:p w14:paraId="00000014">
      <w:pPr>
        <w:pStyle w:val="ListBullet"/>
        <w:rPr/>
      </w:pPr>
      <w:r>
        <w:t>просмотр</w:t>
      </w:r>
      <w:r>
        <w:t>а</w:t>
      </w:r>
      <w:r>
        <w:t xml:space="preserve"> и навигаци</w:t>
      </w:r>
      <w:r>
        <w:t>и</w:t>
      </w:r>
      <w:r>
        <w:t xml:space="preserve"> по карте;</w:t>
      </w:r>
    </w:p>
    <w:p w14:paraId="00000015">
      <w:pPr>
        <w:pStyle w:val="ListBullet"/>
        <w:rPr/>
      </w:pPr>
      <w:r>
        <w:t>включени</w:t>
      </w:r>
      <w:r>
        <w:t>я</w:t>
      </w:r>
      <w:r>
        <w:t xml:space="preserve"> и отключени</w:t>
      </w:r>
      <w:r>
        <w:t>я</w:t>
      </w:r>
      <w:r>
        <w:t xml:space="preserve"> видимости </w:t>
      </w:r>
      <w:r>
        <w:t>слоев карты;</w:t>
      </w:r>
    </w:p>
    <w:p w14:paraId="00000016">
      <w:pPr>
        <w:pStyle w:val="ListBullet"/>
        <w:rPr/>
      </w:pPr>
      <w:r>
        <w:t>поиск</w:t>
      </w:r>
      <w:r>
        <w:t>а</w:t>
      </w:r>
      <w:r>
        <w:t xml:space="preserve"> данных на карте;</w:t>
      </w:r>
    </w:p>
    <w:p w14:paraId="00000017">
      <w:pPr>
        <w:pStyle w:val="ListBullet"/>
        <w:rPr/>
      </w:pPr>
      <w:r>
        <w:t>выполнени</w:t>
      </w:r>
      <w:r>
        <w:t xml:space="preserve">я запросов к карте: </w:t>
      </w:r>
      <w:r>
        <w:t>идентификация объектов, измер</w:t>
      </w:r>
      <w:r>
        <w:t>ение координат, длин, площадей</w:t>
      </w:r>
      <w:r>
        <w:t>;</w:t>
      </w:r>
    </w:p>
    <w:p w14:paraId="00000018">
      <w:pPr>
        <w:pStyle w:val="ListBullet"/>
        <w:rPr/>
      </w:pPr>
      <w:r>
        <w:t>редактировани</w:t>
      </w:r>
      <w:r>
        <w:t>я</w:t>
      </w:r>
      <w:r>
        <w:t xml:space="preserve"> пространс</w:t>
      </w:r>
      <w:r>
        <w:t>твенных объектов и их атрибутов;</w:t>
      </w:r>
    </w:p>
    <w:p w14:paraId="00000019">
      <w:pPr>
        <w:pStyle w:val="ListBullet"/>
        <w:rPr/>
      </w:pPr>
      <w:r>
        <w:t>экспорт</w:t>
      </w:r>
      <w:r>
        <w:t>а</w:t>
      </w:r>
      <w:r>
        <w:t xml:space="preserve"> и</w:t>
      </w:r>
      <w:r>
        <w:t xml:space="preserve"> импорт</w:t>
      </w:r>
      <w:r>
        <w:t>а</w:t>
      </w:r>
      <w:r>
        <w:t xml:space="preserve"> пространственных данных;</w:t>
      </w:r>
    </w:p>
    <w:p w14:paraId="0000001A">
      <w:pPr>
        <w:pStyle w:val="ListBullet"/>
        <w:rPr/>
      </w:pPr>
      <w:r>
        <w:t>пространственн</w:t>
      </w:r>
      <w:r>
        <w:t>ого</w:t>
      </w:r>
      <w:r>
        <w:t xml:space="preserve"> анализ</w:t>
      </w:r>
      <w:r>
        <w:t>а</w:t>
      </w:r>
      <w:r>
        <w:t xml:space="preserve"> </w:t>
      </w:r>
      <w:r>
        <w:t>геодан</w:t>
      </w:r>
      <w:r>
        <w:t>ных</w:t>
      </w:r>
      <w:r>
        <w:t>;</w:t>
      </w:r>
    </w:p>
    <w:p w14:paraId="0000001B">
      <w:pPr>
        <w:pStyle w:val="ListBullet"/>
        <w:rPr/>
      </w:pPr>
      <w:r>
        <w:t>интеграци</w:t>
      </w:r>
      <w:r>
        <w:t>и</w:t>
      </w:r>
      <w:r>
        <w:t xml:space="preserve"> с внешними информационными системами посредством </w:t>
      </w:r>
      <w:r>
        <w:rPr>
          <w:lang w:val="en-US"/>
        </w:rPr>
        <w:t>API</w:t>
      </w:r>
      <w:r>
        <w:t>.</w:t>
      </w:r>
    </w:p>
    <w:p w14:paraId="0000001C">
      <w:pPr>
        <w:pStyle w:val="Текстдокумента"/>
        <w:rPr/>
      </w:pPr>
      <w:r>
        <w:t xml:space="preserve">При возникновении </w:t>
      </w:r>
      <w:r>
        <w:t xml:space="preserve">вопросов и замечаний к функционированию </w:t>
      </w:r>
      <w:r>
        <w:t>Скайори</w:t>
      </w:r>
      <w:r>
        <w:t xml:space="preserve"> ГИС</w:t>
      </w:r>
      <w:r>
        <w:t xml:space="preserve"> </w:t>
      </w:r>
      <w:r>
        <w:t>в ходе мониторинга, а также при выявлении ошибок</w:t>
      </w:r>
      <w:r>
        <w:t>,</w:t>
      </w:r>
      <w:r>
        <w:t xml:space="preserve"> необходимо обратиться в службу технической поддержки. Порядок работы службы технической поддержки описан в Регламенте технической поддержки, приведенном в Прило</w:t>
      </w:r>
      <w:r>
        <w:t xml:space="preserve">жении </w:t>
      </w:r>
      <w:r>
        <w:t>№ </w:t>
      </w:r>
      <w:r>
        <w:t>1.</w:t>
      </w:r>
    </w:p>
    <w:p w14:paraId="0000001D">
      <w:pPr>
        <w:pStyle w:val="Heading1"/>
        <w:rPr>
          <w:b w:val="off"/>
        </w:rPr>
      </w:pPr>
      <w:r>
        <w:t xml:space="preserve">Техническое сопровождение </w:t>
      </w:r>
      <w:r>
        <w:t>Скайори</w:t>
      </w:r>
      <w:r>
        <w:t xml:space="preserve"> ГИС</w:t>
      </w:r>
    </w:p>
    <w:p w14:paraId="0000001E">
      <w:pPr>
        <w:pStyle w:val="Heading2"/>
        <w:rPr>
          <w:b w:val="off"/>
        </w:rPr>
      </w:pPr>
      <w:r>
        <w:t xml:space="preserve">Техническое </w:t>
      </w:r>
      <w:r>
        <w:t>сопровождение</w:t>
      </w:r>
      <w:r>
        <w:t xml:space="preserve"> веб-приложения</w:t>
      </w:r>
    </w:p>
    <w:p w14:paraId="0000001F">
      <w:pPr>
        <w:pStyle w:val="Heading3"/>
        <w:rPr/>
      </w:pPr>
      <w:bookmarkStart w:id="1" w:name="_Ref192670302"/>
      <w:r>
        <w:t xml:space="preserve">Проверка </w:t>
      </w:r>
      <w:r>
        <w:t>доступности</w:t>
      </w:r>
      <w:r>
        <w:t xml:space="preserve"> </w:t>
      </w:r>
      <w:r>
        <w:t>веб-карты</w:t>
      </w:r>
      <w:bookmarkEnd w:id="1"/>
    </w:p>
    <w:p w14:paraId="00000020">
      <w:pPr>
        <w:pStyle w:val="Текстдокумента"/>
        <w:rPr/>
      </w:pPr>
      <w:r>
        <w:t xml:space="preserve">Для проверки доступа к </w:t>
      </w:r>
      <w:r>
        <w:t>веб-карте</w:t>
      </w:r>
      <w:r>
        <w:t xml:space="preserve"> </w:t>
      </w:r>
      <w:r>
        <w:t>Скайори</w:t>
      </w:r>
      <w:r>
        <w:t xml:space="preserve"> ГИС</w:t>
      </w:r>
      <w:r>
        <w:t xml:space="preserve"> необходимо выполнить следующие действия:</w:t>
      </w:r>
    </w:p>
    <w:p w14:paraId="00000021">
      <w:pPr>
        <w:pStyle w:val="ListNumber"/>
        <w:numPr>
          <w:ilvl w:val="0"/>
          <w:numId w:val="39"/>
        </w:numPr>
        <w:ind w:left="1134" w:hanging="425"/>
        <w:rPr>
          <w:lang w:eastAsia="ru-RU"/>
        </w:rPr>
      </w:pPr>
      <w:r>
        <w:rPr>
          <w:lang w:eastAsia="ru-RU"/>
        </w:rPr>
        <w:t>Открыть браузер. Рекомендуемые Интернет-браузеры:</w:t>
      </w:r>
    </w:p>
    <w:p w14:paraId="00000022">
      <w:pPr>
        <w:pStyle w:val="ListBullet2"/>
        <w:rPr/>
      </w:pPr>
      <w:r>
        <w:rPr>
          <w:lang w:val="en-US"/>
        </w:rPr>
        <w:t>Google Chrome</w:t>
      </w:r>
      <w:r>
        <w:t>;</w:t>
      </w:r>
    </w:p>
    <w:p w14:paraId="00000023">
      <w:pPr>
        <w:pStyle w:val="ListBullet2"/>
        <w:rPr/>
      </w:pPr>
      <w:r>
        <w:rPr>
          <w:lang w:val="en-US"/>
        </w:rPr>
        <w:t>Mozilla Firefox</w:t>
      </w:r>
      <w:r>
        <w:t>;</w:t>
      </w:r>
    </w:p>
    <w:p w14:paraId="00000024">
      <w:pPr>
        <w:pStyle w:val="ListBullet2"/>
        <w:rPr/>
      </w:pPr>
      <w:r>
        <w:t>Яндекс Браузер.</w:t>
      </w:r>
    </w:p>
    <w:p w14:paraId="00000025">
      <w:pPr>
        <w:pStyle w:val="ListNumber"/>
        <w:rPr>
          <w:lang w:eastAsia="ru-RU"/>
        </w:rPr>
      </w:pPr>
      <w:r>
        <w:rPr>
          <w:lang w:eastAsia="ru-RU"/>
        </w:rPr>
        <w:t xml:space="preserve">В адресной строке браузера ввести: </w:t>
      </w:r>
      <w:r>
        <w:rPr>
          <w:lang w:eastAsia="ru-RU"/>
        </w:rPr>
        <w:t>http://localhost/map</w:t>
      </w:r>
      <w:r>
        <w:rPr>
          <w:lang w:eastAsia="ru-RU"/>
        </w:rPr>
        <w:t>/</w:t>
      </w:r>
      <w:bookmarkStart w:id="2" w:name="_GoBack"/>
      <w:bookmarkEnd w:id="2"/>
    </w:p>
    <w:p w14:paraId="00000026">
      <w:pPr>
        <w:pStyle w:val="ListNumber"/>
        <w:numPr>
          <w:ilvl w:val="0"/>
          <w:numId w:val="0"/>
        </w:numPr>
        <w:spacing w:before="60" w:after="60"/>
        <w:ind w:left="1134"/>
        <w:contextualSpacing w:val="off"/>
        <w:rPr>
          <w:i/>
          <w:lang w:eastAsia="ru-RU"/>
        </w:rPr>
      </w:pPr>
      <w:r>
        <w:rPr>
          <w:i/>
          <w:lang w:eastAsia="ru-RU"/>
        </w:rPr>
        <w:t xml:space="preserve">Примечание: требуется предварительная установка экземпляра </w:t>
      </w:r>
      <w:r>
        <w:rPr>
          <w:i/>
          <w:lang w:eastAsia="ru-RU"/>
        </w:rPr>
        <w:t>Скайори</w:t>
      </w:r>
      <w:r>
        <w:rPr>
          <w:i/>
          <w:lang w:eastAsia="ru-RU"/>
        </w:rPr>
        <w:t xml:space="preserve"> ГИС согласно Инструкции по развертыванию дистрибутива.</w:t>
      </w:r>
    </w:p>
    <w:p w14:paraId="00000027">
      <w:pPr>
        <w:pStyle w:val="ListNumber"/>
        <w:numPr>
          <w:ilvl w:val="0"/>
          <w:numId w:val="0"/>
        </w:numPr>
        <w:ind w:left="1134"/>
        <w:rPr>
          <w:lang w:eastAsia="ru-RU"/>
        </w:rPr>
      </w:pPr>
      <w:r>
        <w:rPr>
          <w:lang w:eastAsia="ru-RU"/>
        </w:rPr>
        <w:t xml:space="preserve">В результате откроется </w:t>
      </w:r>
      <w:r>
        <w:rPr>
          <w:lang w:eastAsia="ru-RU"/>
        </w:rPr>
        <w:t xml:space="preserve">страница с </w:t>
      </w:r>
      <w:r>
        <w:rPr>
          <w:lang w:eastAsia="ru-RU"/>
        </w:rPr>
        <w:t>в</w:t>
      </w:r>
      <w:r>
        <w:rPr>
          <w:lang w:eastAsia="ru-RU"/>
        </w:rPr>
        <w:t>еб-картой</w:t>
      </w:r>
      <w:r>
        <w:rPr>
          <w:lang w:eastAsia="ru-RU"/>
        </w:rPr>
        <w:t xml:space="preserve"> (</w:t>
      </w:r>
      <w:r>
        <w:fldChar w:fldCharType="begin"/>
      </w:r>
      <w:r>
        <w:instrText xml:space="preserve"> REF _Ref192061618 \h </w:instrText>
      </w:r>
      <w:r>
        <w:fldChar w:fldCharType="separate"/>
      </w:r>
      <w:r>
        <w:t>Рисунок</w:t>
      </w:r>
      <w:r>
        <w:t> </w:t>
      </w:r>
      <w:r>
        <w:t>1</w:t>
      </w:r>
      <w:r>
        <w:fldChar w:fldCharType="end"/>
      </w:r>
      <w:r>
        <w:rPr>
          <w:lang w:eastAsia="ru-RU"/>
        </w:rPr>
        <w:t>). Показатель</w:t>
      </w:r>
      <w:r>
        <w:rPr>
          <w:lang w:eastAsia="ru-RU"/>
        </w:rPr>
        <w:t xml:space="preserve"> доступности </w:t>
      </w:r>
      <w:r>
        <w:rPr>
          <w:lang w:eastAsia="ru-RU"/>
        </w:rPr>
        <w:t>веб-карты</w:t>
      </w:r>
      <w:r>
        <w:rPr>
          <w:lang w:eastAsia="ru-RU"/>
        </w:rPr>
        <w:t xml:space="preserve"> </w:t>
      </w:r>
      <w:r>
        <w:rPr>
          <w:lang w:eastAsia="ru-RU"/>
        </w:rPr>
        <w:t>–</w:t>
      </w:r>
      <w:r>
        <w:rPr>
          <w:lang w:eastAsia="ru-RU"/>
        </w:rPr>
        <w:t xml:space="preserve"> успешная загрузка </w:t>
      </w:r>
      <w:r>
        <w:rPr>
          <w:lang w:eastAsia="ru-RU"/>
        </w:rPr>
        <w:t>страницы</w:t>
      </w:r>
      <w:r>
        <w:rPr>
          <w:lang w:eastAsia="ru-RU"/>
        </w:rPr>
        <w:t>.</w:t>
      </w:r>
    </w:p>
    <w:p w14:paraId="00000028">
      <w:pPr>
        <w:pStyle w:val="Рисунок"/>
        <w:rPr>
          <w:rFonts w:eastAsia="Times New Roman"/>
          <w:color w:val="000000"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6480175" cy="2859405"/>
            <wp:effectExtent l="0" t="0" r="19050" b="1905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29">
      <w:pPr>
        <w:pStyle w:val="Названиерисунка"/>
        <w:rPr/>
      </w:pPr>
      <w:bookmarkStart w:id="3" w:name="_Ref192061618"/>
      <w:r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</w:t>
      </w:r>
      <w:r>
        <w:fldChar w:fldCharType="end"/>
      </w:r>
      <w:bookmarkEnd w:id="3"/>
      <w:r>
        <w:t xml:space="preserve"> – Веб-карта</w:t>
      </w:r>
      <w:r>
        <w:t xml:space="preserve"> </w:t>
      </w:r>
      <w:r>
        <w:t>Скайори</w:t>
      </w:r>
      <w:r>
        <w:t xml:space="preserve"> ГИС</w:t>
      </w:r>
    </w:p>
    <w:p w14:paraId="0000002A">
      <w:pPr>
        <w:pStyle w:val="Heading3"/>
        <w:rPr/>
      </w:pPr>
      <w:r>
        <w:t>Проверка</w:t>
      </w:r>
      <w:r>
        <w:t xml:space="preserve"> работоспособности</w:t>
      </w:r>
      <w:r>
        <w:t xml:space="preserve"> </w:t>
      </w:r>
      <w:r>
        <w:t>инструментов карты</w:t>
      </w:r>
    </w:p>
    <w:p w14:paraId="0000002B">
      <w:pPr>
        <w:pStyle w:val="Текстдокумента"/>
        <w:rPr/>
      </w:pPr>
      <w:r>
        <w:t xml:space="preserve">Для проверки </w:t>
      </w:r>
      <w:r>
        <w:t>работоспособности инструментов карты</w:t>
      </w:r>
      <w:r>
        <w:t xml:space="preserve"> </w:t>
      </w:r>
      <w:r>
        <w:t>Скайори</w:t>
      </w:r>
      <w:r>
        <w:t xml:space="preserve"> ГИС необходимо выполнить следующие действия:</w:t>
      </w:r>
    </w:p>
    <w:p w14:paraId="0000002C">
      <w:pPr>
        <w:pStyle w:val="ListNumber"/>
        <w:numPr>
          <w:ilvl w:val="0"/>
          <w:numId w:val="40"/>
        </w:numPr>
        <w:ind w:left="1134" w:hanging="425"/>
        <w:rPr>
          <w:lang w:eastAsia="ru-RU"/>
        </w:rPr>
      </w:pPr>
      <w:r>
        <w:rPr>
          <w:lang w:eastAsia="ru-RU"/>
        </w:rPr>
        <w:t xml:space="preserve">Открыть </w:t>
      </w:r>
      <w:r>
        <w:rPr>
          <w:lang w:eastAsia="ru-RU"/>
        </w:rPr>
        <w:t xml:space="preserve">веб-карту (см. п. </w:t>
      </w:r>
      <w:r>
        <w:fldChar w:fldCharType="begin"/>
      </w:r>
      <w:r>
        <w:instrText xml:space="preserve"> REF _Ref192670302 \r \h </w:instrText>
      </w:r>
      <w:r>
        <w:fldChar w:fldCharType="separate"/>
      </w:r>
      <w:r>
        <w:rPr>
          <w:lang w:eastAsia="ru-RU"/>
        </w:rPr>
        <w:t>2.1.1</w:t>
      </w:r>
      <w:r>
        <w:fldChar w:fldCharType="end"/>
      </w:r>
      <w:r>
        <w:rPr>
          <w:lang w:eastAsia="ru-RU"/>
        </w:rPr>
        <w:t xml:space="preserve"> инструкции).</w:t>
      </w:r>
    </w:p>
    <w:p w14:paraId="0000002D">
      <w:pPr>
        <w:pStyle w:val="ListNumber"/>
        <w:rPr>
          <w:lang w:eastAsia="ru-RU"/>
        </w:rPr>
      </w:pPr>
      <w:r>
        <w:rPr>
          <w:lang w:eastAsia="ru-RU"/>
        </w:rPr>
        <w:t xml:space="preserve">Нажать на кнопку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16000" cy="216000"/>
            <wp:effectExtent l="0" t="0" r="19050" b="1905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lang w:eastAsia="ru-RU"/>
        </w:rPr>
        <w:t>«</w:t>
      </w:r>
      <w:r>
        <w:rPr>
          <w:lang w:eastAsia="ru-RU"/>
        </w:rPr>
        <w:t>Идентификация</w:t>
      </w:r>
      <w:r>
        <w:rPr>
          <w:lang w:eastAsia="ru-RU"/>
        </w:rPr>
        <w:t xml:space="preserve">» в </w:t>
      </w:r>
      <w:r>
        <w:rPr>
          <w:lang w:eastAsia="ru-RU"/>
        </w:rPr>
        <w:t>левом</w:t>
      </w:r>
      <w:r>
        <w:rPr>
          <w:lang w:eastAsia="ru-RU"/>
        </w:rPr>
        <w:t xml:space="preserve"> </w:t>
      </w:r>
      <w:r>
        <w:rPr>
          <w:lang w:eastAsia="ru-RU"/>
        </w:rPr>
        <w:t>нижнем</w:t>
      </w:r>
      <w:r>
        <w:rPr>
          <w:lang w:eastAsia="ru-RU"/>
        </w:rPr>
        <w:t xml:space="preserve"> углу </w:t>
      </w:r>
      <w:r>
        <w:rPr>
          <w:lang w:eastAsia="ru-RU"/>
        </w:rPr>
        <w:t>карты</w:t>
      </w:r>
      <w:r>
        <w:rPr>
          <w:lang w:eastAsia="ru-RU"/>
        </w:rPr>
        <w:t xml:space="preserve">. </w:t>
      </w:r>
      <w:r>
        <w:rPr>
          <w:lang w:eastAsia="ru-RU"/>
        </w:rPr>
        <w:t>Слева</w:t>
      </w:r>
      <w:r>
        <w:rPr>
          <w:lang w:eastAsia="ru-RU"/>
        </w:rPr>
        <w:t xml:space="preserve"> откроется </w:t>
      </w:r>
      <w:r>
        <w:rPr>
          <w:lang w:eastAsia="ru-RU"/>
        </w:rPr>
        <w:t>панель</w:t>
      </w:r>
      <w:r>
        <w:rPr>
          <w:lang w:eastAsia="ru-RU"/>
        </w:rPr>
        <w:t xml:space="preserve"> </w:t>
      </w:r>
      <w:r>
        <w:rPr>
          <w:lang w:eastAsia="ru-RU"/>
        </w:rPr>
        <w:t>«Результаты идентификации».</w:t>
      </w:r>
    </w:p>
    <w:p w14:paraId="0000002E">
      <w:pPr>
        <w:pStyle w:val="ListNumber"/>
        <w:rPr>
          <w:lang w:eastAsia="ru-RU"/>
        </w:rPr>
      </w:pPr>
      <w:r>
        <w:rPr>
          <w:lang w:eastAsia="ru-RU"/>
        </w:rPr>
        <w:t>Зажать левую кнопку мыши, выделить область на карте и отпустить кнопку мыши (</w:t>
      </w:r>
      <w:r>
        <w:fldChar w:fldCharType="begin"/>
      </w:r>
      <w:r>
        <w:instrText xml:space="preserve"> REF _Ref192149588 \h </w:instrText>
      </w:r>
      <w:r>
        <w:fldChar w:fldCharType="separate"/>
      </w:r>
      <w:r>
        <w:t>Рисунок </w:t>
      </w:r>
      <w:r>
        <w:t>2</w:t>
      </w:r>
      <w:r>
        <w:fldChar w:fldCharType="end"/>
      </w:r>
      <w:r>
        <w:rPr>
          <w:lang w:eastAsia="ru-RU"/>
        </w:rPr>
        <w:t>). На панели отобразятся результаты идентификации.</w:t>
      </w:r>
    </w:p>
    <w:p w14:paraId="0000002F">
      <w:pPr>
        <w:pStyle w:val="Рисунок"/>
        <w:rPr/>
      </w:pPr>
      <w:r>
        <w:rPr/>
        <w:drawing xmlns:mc="http://schemas.openxmlformats.org/markup-compatibility/2006">
          <wp:inline distT="0" distB="0" distL="0" distR="0">
            <wp:extent cx="6480175" cy="2854325"/>
            <wp:effectExtent l="0" t="0" r="19050" b="1905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30">
      <w:pPr>
        <w:pStyle w:val="Названиерисунка"/>
        <w:rPr/>
      </w:pPr>
      <w:bookmarkStart w:id="4" w:name="_Ref192149588"/>
      <w:r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2</w:t>
      </w:r>
      <w:r>
        <w:fldChar w:fldCharType="end"/>
      </w:r>
      <w:bookmarkEnd w:id="4"/>
      <w:r>
        <w:t xml:space="preserve"> – </w:t>
      </w:r>
      <w:r>
        <w:t>Область идентификации на карте</w:t>
      </w:r>
    </w:p>
    <w:p w14:paraId="00000031">
      <w:pPr>
        <w:pStyle w:val="ListNumber"/>
        <w:rPr/>
      </w:pPr>
      <w:r>
        <w:t>Нажать на кнопку</w:t>
      </w:r>
      <w:r>
        <w:t xml:space="preserve">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22353" cy="216000"/>
            <wp:effectExtent l="0" t="0" r="19050" b="1905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53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возле любой группы слоев, чтобы раскрыть её.</w:t>
      </w:r>
    </w:p>
    <w:p w14:paraId="00000032">
      <w:pPr>
        <w:pStyle w:val="ListNumber"/>
        <w:rPr/>
      </w:pPr>
      <w:r>
        <w:t xml:space="preserve">Выбрать </w:t>
      </w:r>
      <w:r>
        <w:t xml:space="preserve">любой </w:t>
      </w:r>
      <w:r>
        <w:t>объект</w:t>
      </w:r>
      <w:r>
        <w:t xml:space="preserve"> слоя и нажать на кнопку</w:t>
      </w:r>
      <w:r>
        <w:t xml:space="preserve">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22750" cy="216000"/>
            <wp:effectExtent l="0" t="0" r="19050" b="1905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«Приблизить». </w:t>
      </w:r>
      <w:r>
        <w:t xml:space="preserve">Выбранный объект отобразится на карте в более крупном масштабе </w:t>
      </w:r>
      <w:r>
        <w:rPr>
          <w:lang w:eastAsia="ru-RU"/>
        </w:rPr>
        <w:t>(</w:t>
      </w:r>
      <w:r>
        <w:fldChar w:fldCharType="begin"/>
      </w:r>
      <w:r>
        <w:instrText xml:space="preserve"> REF _Ref192150444 \h </w:instrText>
      </w:r>
      <w:r>
        <w:fldChar w:fldCharType="separate"/>
      </w:r>
      <w:r>
        <w:t>Рисунок </w:t>
      </w:r>
      <w:r>
        <w:t>3</w:t>
      </w:r>
      <w:r>
        <w:fldChar w:fldCharType="end"/>
      </w:r>
      <w:r>
        <w:rPr>
          <w:lang w:eastAsia="ru-RU"/>
        </w:rPr>
        <w:t>)</w:t>
      </w:r>
      <w:r>
        <w:rPr>
          <w:lang w:eastAsia="ru-RU"/>
        </w:rPr>
        <w:t>.</w:t>
      </w:r>
    </w:p>
    <w:p w14:paraId="00000033">
      <w:pPr>
        <w:pStyle w:val="Рисунок"/>
        <w:rPr/>
      </w:pPr>
      <w:r>
        <w:rPr/>
        <w:drawing xmlns:mc="http://schemas.openxmlformats.org/markup-compatibility/2006">
          <wp:inline distT="0" distB="0" distL="0" distR="0">
            <wp:extent cx="6480175" cy="2872105"/>
            <wp:effectExtent l="0" t="0" r="19050" b="1905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2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34">
      <w:pPr>
        <w:pStyle w:val="Названиерисунка"/>
        <w:rPr/>
      </w:pPr>
      <w:bookmarkStart w:id="5" w:name="_Ref192150444"/>
      <w:r>
        <w:t>Рисунок</w:t>
      </w:r>
      <w:r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3</w:t>
      </w:r>
      <w:r>
        <w:fldChar w:fldCharType="end"/>
      </w:r>
      <w:bookmarkEnd w:id="5"/>
      <w:r>
        <w:t xml:space="preserve"> – </w:t>
      </w:r>
      <w:r>
        <w:t>Выбранный объект на карте</w:t>
      </w:r>
    </w:p>
    <w:p w14:paraId="00000035">
      <w:pPr>
        <w:pStyle w:val="ListNumber"/>
        <w:rPr/>
      </w:pPr>
      <w:r>
        <w:t xml:space="preserve">Нажать на кнопку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16000" cy="216000"/>
            <wp:effectExtent l="0" t="0" r="19050" b="1905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«Прочие инструменты» и выбрать пункт «Измерения на карте». Откроется панель «Измерение» в правом нижнем углу карты.</w:t>
      </w:r>
    </w:p>
    <w:p w14:paraId="00000036">
      <w:pPr>
        <w:pStyle w:val="ListNumber"/>
        <w:rPr/>
      </w:pPr>
      <w:r>
        <w:t xml:space="preserve">Нажать на кнопку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16000" cy="216000"/>
            <wp:effectExtent l="0" t="0" r="19050" b="1905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«Координаты» и кликнуть по карте в любой точке. В выбранной точке отобразятся её координаты (</w:t>
      </w:r>
      <w:r>
        <w:fldChar w:fldCharType="begin"/>
      </w:r>
      <w:r>
        <w:instrText xml:space="preserve"> REF _Ref192672718 \h </w:instrText>
      </w:r>
      <w:r>
        <w:fldChar w:fldCharType="separate"/>
      </w:r>
      <w:r>
        <w:t>Рисунок </w:t>
      </w:r>
      <w:r>
        <w:t>4</w:t>
      </w:r>
      <w:r>
        <w:fldChar w:fldCharType="end"/>
      </w:r>
      <w:r>
        <w:t>).</w:t>
      </w:r>
    </w:p>
    <w:p w14:paraId="00000037">
      <w:pPr>
        <w:pStyle w:val="Рисунок"/>
        <w:rPr/>
      </w:pPr>
      <w:r>
        <w:rPr/>
        <w:drawing xmlns:mc="http://schemas.openxmlformats.org/markup-compatibility/2006">
          <wp:inline distT="0" distB="0" distL="0" distR="0">
            <wp:extent cx="6480175" cy="2870835"/>
            <wp:effectExtent l="0" t="0" r="19050" b="1905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7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38">
      <w:pPr>
        <w:pStyle w:val="Названиерисунка"/>
        <w:rPr/>
      </w:pPr>
      <w:bookmarkStart w:id="6" w:name="_Ref192672718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</w:t>
      </w:r>
      <w:r>
        <w:fldChar w:fldCharType="end"/>
      </w:r>
      <w:bookmarkEnd w:id="6"/>
      <w:r>
        <w:t xml:space="preserve"> – Координаты точки на карте</w:t>
      </w:r>
    </w:p>
    <w:p w14:paraId="00000039">
      <w:pPr>
        <w:pStyle w:val="ListNumber"/>
        <w:rPr/>
      </w:pPr>
      <w:r>
        <w:t xml:space="preserve">Нажать на кнопку </w:t>
      </w:r>
      <w:r>
        <w:rPr>
          <w:lang w:eastAsia="ru-RU"/>
        </w:rPr>
        <w:drawing xmlns:mc="http://schemas.openxmlformats.org/markup-compatibility/2006">
          <wp:inline distT="0" distB="0" distL="0" distR="0">
            <wp:extent cx="216000" cy="216000"/>
            <wp:effectExtent l="0" t="0" r="19050" b="1905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«</w:t>
      </w:r>
      <w:r>
        <w:t>Выгрузить</w:t>
      </w:r>
      <w:r>
        <w:t>»</w:t>
      </w:r>
      <w:r>
        <w:t xml:space="preserve"> рядом с выбранным слоем</w:t>
      </w:r>
      <w:r>
        <w:t xml:space="preserve"> на панели «Результаты идентификации»</w:t>
      </w:r>
      <w:r>
        <w:t xml:space="preserve">. </w:t>
      </w:r>
      <w:r>
        <w:t>Появится модальное окно «Выгрузка» с</w:t>
      </w:r>
      <w:r>
        <w:t xml:space="preserve"> </w:t>
      </w:r>
      <w:r>
        <w:t>полями «Формат» и «Система координат» (</w:t>
      </w:r>
      <w:r>
        <w:fldChar w:fldCharType="begin"/>
      </w:r>
      <w:r>
        <w:instrText xml:space="preserve"> REF _Ref192672244 \h </w:instrText>
      </w:r>
      <w:r>
        <w:fldChar w:fldCharType="separate"/>
      </w:r>
      <w:r>
        <w:t>Рисунок </w:t>
      </w:r>
      <w:r>
        <w:t>5</w:t>
      </w:r>
      <w:r>
        <w:fldChar w:fldCharType="end"/>
      </w:r>
      <w:r>
        <w:t>)</w:t>
      </w:r>
      <w:r>
        <w:t>.</w:t>
      </w:r>
    </w:p>
    <w:p w14:paraId="0000003A">
      <w:pPr>
        <w:pStyle w:val="Рисунок"/>
        <w:rPr/>
      </w:pPr>
      <w:r>
        <w:rPr/>
        <w:drawing xmlns:mc="http://schemas.openxmlformats.org/markup-compatibility/2006">
          <wp:inline distT="0" distB="0" distL="0" distR="0">
            <wp:extent cx="6480175" cy="2855595"/>
            <wp:effectExtent l="0" t="0" r="19050" b="1905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0003B">
      <w:pPr>
        <w:pStyle w:val="Названиерисунка"/>
        <w:rPr/>
      </w:pPr>
      <w:bookmarkStart w:id="7" w:name="_Ref19267224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</w:t>
      </w:r>
      <w:r>
        <w:fldChar w:fldCharType="end"/>
      </w:r>
      <w:bookmarkEnd w:id="7"/>
      <w:r>
        <w:t xml:space="preserve"> – Модальное окно «Выгрузка»</w:t>
      </w:r>
    </w:p>
    <w:p w14:paraId="0000003C">
      <w:pPr>
        <w:pStyle w:val="ListNumber"/>
        <w:rPr/>
      </w:pPr>
      <w:r>
        <w:t>Нажмите на кнопку «ОК», чтобы экспортировать слой. Слой с выбранными форматом и системой координат будет загружен на компьютер.</w:t>
      </w:r>
    </w:p>
    <w:p w14:paraId="0000003D">
      <w:pPr>
        <w:pStyle w:val="Приложение"/>
        <w:rPr>
          <w:szCs w:val="28"/>
        </w:rPr>
      </w:pPr>
      <w:r>
        <w:t xml:space="preserve">Приложение </w:t>
      </w:r>
      <w:r>
        <w:t xml:space="preserve">№ </w:t>
      </w:r>
      <w:r>
        <w:t>1</w:t>
      </w:r>
      <w:r>
        <w:rPr/>
        <w:br w:type="textWrapping"/>
      </w:r>
      <w:r>
        <w:rPr>
          <w:b w:val="off"/>
          <w:szCs w:val="28"/>
        </w:rPr>
        <w:t>к и</w:t>
      </w:r>
      <w:r>
        <w:rPr>
          <w:b w:val="off"/>
          <w:color w:val="000000"/>
          <w:szCs w:val="28"/>
        </w:rPr>
        <w:t>нструкции по техническому сопровождению</w:t>
      </w:r>
    </w:p>
    <w:p w14:paraId="0000003E">
      <w:pPr>
        <w:pStyle w:val="ПриложениеЗаголовок"/>
        <w:rPr/>
      </w:pPr>
      <w:r>
        <w:t>Регламент технической поддержки</w:t>
      </w:r>
    </w:p>
    <w:p w14:paraId="0000003F">
      <w:pPr>
        <w:pStyle w:val="ПриложениеПодзаголовок"/>
        <w:rPr>
          <w:lang w:eastAsia="ru-RU"/>
        </w:rPr>
      </w:pPr>
      <w:r>
        <w:rPr>
          <w:lang w:eastAsia="ru-RU"/>
        </w:rPr>
        <w:t xml:space="preserve">1 </w:t>
      </w:r>
      <w:r>
        <w:rPr>
          <w:lang w:eastAsia="ru-RU"/>
        </w:rPr>
        <w:t>Общие сведения</w:t>
      </w:r>
    </w:p>
    <w:p w14:paraId="00000040">
      <w:pPr>
        <w:pStyle w:val="ПриложениеТекст"/>
        <w:rPr/>
      </w:pPr>
      <w:r>
        <w:t xml:space="preserve">Данный регламент устанавливает порядок предоставления услуг технической поддержки </w:t>
      </w:r>
      <w:r>
        <w:t xml:space="preserve">геоинформационной </w:t>
      </w:r>
      <w:r>
        <w:t>платформы</w:t>
      </w:r>
      <w:r>
        <w:t xml:space="preserve"> </w:t>
      </w:r>
      <w:r>
        <w:rPr>
          <w:lang w:val="en-US"/>
        </w:rPr>
        <w:t>Skyori GIS</w:t>
      </w:r>
      <w:r>
        <w:t xml:space="preserve"> </w:t>
      </w:r>
      <w:r>
        <w:t xml:space="preserve">(далее – </w:t>
      </w:r>
      <w:r>
        <w:t>Скайори</w:t>
      </w:r>
      <w:r>
        <w:t xml:space="preserve"> ГИС)</w:t>
      </w:r>
      <w:r>
        <w:t>.</w:t>
      </w:r>
    </w:p>
    <w:p w14:paraId="00000041">
      <w:pPr>
        <w:pStyle w:val="ПриложениеТекст"/>
        <w:rPr/>
      </w:pPr>
      <w:r>
        <w:t xml:space="preserve">Техническую поддержку </w:t>
      </w:r>
      <w:r>
        <w:t>Скайори</w:t>
      </w:r>
      <w:r>
        <w:t xml:space="preserve"> ГИС</w:t>
      </w:r>
      <w:r>
        <w:t xml:space="preserve"> осуществляют специалисты ООО «</w:t>
      </w:r>
      <w:r>
        <w:t>Скайори</w:t>
      </w:r>
      <w:r>
        <w:t xml:space="preserve">» в рамках действующих контрактов на оказание услуг по сопровождению </w:t>
      </w:r>
      <w:r>
        <w:t>Скайори</w:t>
      </w:r>
      <w:r>
        <w:t xml:space="preserve"> ГИС</w:t>
      </w:r>
      <w:r>
        <w:t>.</w:t>
      </w:r>
    </w:p>
    <w:p w14:paraId="00000042">
      <w:pPr>
        <w:pStyle w:val="ПриложениеПодзаголовок"/>
        <w:rPr>
          <w:lang w:eastAsia="ru-RU"/>
        </w:rPr>
      </w:pPr>
      <w:r>
        <w:rPr>
          <w:lang w:eastAsia="ru-RU"/>
        </w:rPr>
        <w:t>2</w:t>
      </w:r>
      <w:r>
        <w:rPr>
          <w:lang w:eastAsia="ru-RU"/>
        </w:rPr>
        <w:t xml:space="preserve"> Состав оказываемых услуг технической поддержки</w:t>
      </w:r>
    </w:p>
    <w:p w14:paraId="00000043">
      <w:pPr>
        <w:pStyle w:val="ПриложениеТекст"/>
        <w:rPr/>
      </w:pPr>
      <w:r>
        <w:t>Перечень услуг тех</w:t>
      </w:r>
      <w:r>
        <w:t>нической поддержки представлен ниже (</w:t>
      </w:r>
      <w:r>
        <w:fldChar w:fldCharType="begin"/>
      </w:r>
      <w:r>
        <w:instrText xml:space="preserve"> REF _Ref191974062 \h </w:instrText>
      </w:r>
      <w:r>
        <w:fldChar w:fldCharType="separate"/>
      </w:r>
      <w:r>
        <w:t xml:space="preserve">Таблица </w:t>
      </w:r>
      <w:r>
        <w:t>1</w:t>
      </w:r>
      <w:r>
        <w:fldChar w:fldCharType="end"/>
      </w:r>
      <w:r>
        <w:t>)</w:t>
      </w:r>
      <w:r>
        <w:t>.</w:t>
      </w:r>
    </w:p>
    <w:p w14:paraId="00000044">
      <w:pPr>
        <w:pStyle w:val="ПриложениеНазваниетаблицы"/>
        <w:rPr>
          <w:lang w:eastAsia="ru-RU"/>
        </w:rPr>
      </w:pPr>
      <w:bookmarkStart w:id="8" w:name="_Ref191974062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1</w:t>
      </w:r>
      <w:r>
        <w:fldChar w:fldCharType="end"/>
      </w:r>
      <w:bookmarkEnd w:id="8"/>
      <w:r>
        <w:t xml:space="preserve"> – </w:t>
      </w:r>
      <w:r>
        <w:rPr>
          <w:lang w:eastAsia="ru-RU"/>
        </w:rPr>
        <w:t>Состав оказываемых услуг технической поддержки</w:t>
      </w:r>
    </w:p>
    <w:tbl>
      <w:tblPr>
        <w:tblStyle w:val="TableGrid"/>
        <w:tblW w:w="5000" w:type="pct"/>
        <w:tblLook w:val="04A0"/>
      </w:tblPr>
      <w:tblGrid>
        <w:gridCol w:w="2285"/>
        <w:gridCol w:w="2346"/>
        <w:gridCol w:w="4326"/>
        <w:gridCol w:w="1238"/>
      </w:tblGrid>
      <w:tr>
        <w:trPr>
          <w:tblHeader w:val="on"/>
        </w:trPr>
        <w:tc>
          <w:tcPr>
            <w:cnfStyle w:val="101000000000"/>
            <w:tcW w:w="2326" w:type="dxa"/>
            <w:tcBorders>
              <w:bottom w:val="double" w:color="auto" w:sz="4" w:space="0"/>
            </w:tcBorders>
            <w:vAlign w:val="center"/>
          </w:tcPr>
          <w:p w14:paraId="00000045">
            <w:pPr>
              <w:pStyle w:val="ТаблицаШапка"/>
              <w:rPr/>
            </w:pPr>
            <w:r>
              <w:t>Сервис</w:t>
            </w:r>
          </w:p>
        </w:tc>
        <w:tc>
          <w:tcPr>
            <w:cnfStyle w:val="100000000000"/>
            <w:tcW w:w="1638" w:type="dxa"/>
            <w:tcBorders>
              <w:bottom w:val="double" w:color="auto" w:sz="4" w:space="0"/>
            </w:tcBorders>
            <w:vAlign w:val="center"/>
          </w:tcPr>
          <w:p w14:paraId="00000046">
            <w:pPr>
              <w:pStyle w:val="ТаблицаШапка"/>
              <w:rPr/>
            </w:pPr>
            <w:r>
              <w:t>Услуга</w:t>
            </w:r>
          </w:p>
        </w:tc>
        <w:tc>
          <w:tcPr>
            <w:cnfStyle w:val="100000000000"/>
            <w:tcW w:w="4404" w:type="dxa"/>
            <w:tcBorders>
              <w:bottom w:val="double" w:color="auto" w:sz="4" w:space="0"/>
            </w:tcBorders>
            <w:vAlign w:val="center"/>
          </w:tcPr>
          <w:p w14:paraId="00000047">
            <w:pPr>
              <w:pStyle w:val="ТаблицаШапка"/>
              <w:rPr/>
            </w:pPr>
            <w:r>
              <w:t>Описание</w:t>
            </w:r>
          </w:p>
        </w:tc>
        <w:tc>
          <w:tcPr>
            <w:cnfStyle w:val="100000000000"/>
            <w:tcW w:w="1260" w:type="dxa"/>
            <w:tcBorders>
              <w:bottom w:val="double" w:color="auto" w:sz="4" w:space="0"/>
            </w:tcBorders>
            <w:vAlign w:val="center"/>
          </w:tcPr>
          <w:p w14:paraId="00000048">
            <w:pPr>
              <w:pStyle w:val="ТаблицаШапка"/>
              <w:rPr/>
            </w:pPr>
            <w:r>
              <w:t>График</w:t>
            </w:r>
          </w:p>
        </w:tc>
      </w:tr>
      <w:tr>
        <w:trPr/>
        <w:tc>
          <w:tcPr>
            <w:cnfStyle w:val="001000100000"/>
            <w:tcW w:w="2326" w:type="dxa"/>
            <w:tcBorders>
              <w:top w:val="double" w:color="auto" w:sz="4" w:space="0"/>
            </w:tcBorders>
            <w:vAlign w:val="center"/>
          </w:tcPr>
          <w:p w14:paraId="00000049">
            <w:pPr>
              <w:pStyle w:val="ТаблицаТекст"/>
              <w:rPr/>
            </w:pPr>
            <w:r>
              <w:t>Поддержка ПО, обеспечивающего</w:t>
            </w:r>
            <w:r>
              <w:t xml:space="preserve"> работу </w:t>
            </w:r>
            <w:r>
              <w:t>Скайори</w:t>
            </w:r>
            <w:r>
              <w:t xml:space="preserve"> ГИС</w:t>
            </w:r>
          </w:p>
        </w:tc>
        <w:tc>
          <w:tcPr>
            <w:cnfStyle w:val="000000100000"/>
            <w:tcW w:w="1638" w:type="dxa"/>
            <w:tcBorders>
              <w:top w:val="double" w:color="auto" w:sz="4" w:space="0"/>
            </w:tcBorders>
            <w:vAlign w:val="center"/>
          </w:tcPr>
          <w:p w14:paraId="0000004A">
            <w:pPr>
              <w:pStyle w:val="ТаблицаТекст"/>
              <w:rPr/>
            </w:pPr>
            <w:r>
              <w:t>Поддержка серверов</w:t>
            </w:r>
            <w:r>
              <w:t xml:space="preserve"> </w:t>
            </w:r>
            <w:r>
              <w:t>приложений</w:t>
            </w:r>
          </w:p>
        </w:tc>
        <w:tc>
          <w:tcPr>
            <w:cnfStyle w:val="000000100000"/>
            <w:tcW w:w="4404" w:type="dxa"/>
            <w:tcBorders>
              <w:top w:val="double" w:color="auto" w:sz="4" w:space="0"/>
            </w:tcBorders>
            <w:vAlign w:val="center"/>
          </w:tcPr>
          <w:p w14:paraId="0000004B">
            <w:pPr>
              <w:pStyle w:val="ТаблицаТекст"/>
              <w:numPr>
                <w:ilvl w:val="0"/>
                <w:numId w:val="31"/>
              </w:numPr>
              <w:rPr/>
            </w:pPr>
            <w:r>
              <w:t>Ежедневный анализ</w:t>
            </w:r>
            <w:r>
              <w:t xml:space="preserve"> содержания журнальных файлов серверов </w:t>
            </w:r>
            <w:r>
              <w:t>приложений.</w:t>
            </w:r>
          </w:p>
          <w:p w14:paraId="0000004C">
            <w:pPr>
              <w:pStyle w:val="ТаблицаТекст"/>
              <w:numPr>
                <w:ilvl w:val="0"/>
                <w:numId w:val="31"/>
              </w:numPr>
              <w:rPr/>
            </w:pPr>
            <w:r>
              <w:t>Устранение потенц</w:t>
            </w:r>
            <w:r>
              <w:t>иальных инцидентов, обнаруженных</w:t>
            </w:r>
            <w:r>
              <w:t xml:space="preserve"> в ходе мониторинга, которые могут привести к сбою </w:t>
            </w:r>
            <w:r>
              <w:t>Скайори</w:t>
            </w:r>
            <w:r>
              <w:t xml:space="preserve"> ГИС.</w:t>
            </w:r>
          </w:p>
          <w:p w14:paraId="0000004D">
            <w:pPr>
              <w:pStyle w:val="ТаблицаТекст"/>
              <w:numPr>
                <w:ilvl w:val="0"/>
                <w:numId w:val="31"/>
              </w:numPr>
              <w:rPr/>
            </w:pPr>
            <w:r>
              <w:t>Мониторинг</w:t>
            </w:r>
            <w:r>
              <w:t xml:space="preserve"> запуска системных работ</w:t>
            </w:r>
            <w:r>
              <w:t xml:space="preserve"> </w:t>
            </w:r>
            <w:r>
              <w:t>по расписанию.</w:t>
            </w:r>
          </w:p>
        </w:tc>
        <w:tc>
          <w:tcPr>
            <w:cnfStyle w:val="000000100000"/>
            <w:tcW w:w="1260" w:type="dxa"/>
            <w:tcBorders>
              <w:top w:val="double" w:color="auto" w:sz="4" w:space="0"/>
            </w:tcBorders>
            <w:vAlign w:val="center"/>
          </w:tcPr>
          <w:p w14:paraId="0000004E">
            <w:pPr>
              <w:pStyle w:val="ТаблицаТекст"/>
              <w:rPr/>
            </w:pPr>
            <w:r>
              <w:t xml:space="preserve">с </w:t>
            </w:r>
            <w:r>
              <w:t>09:00 до 18:</w:t>
            </w:r>
            <w:r>
              <w:t>00 в рабочие дни</w:t>
            </w:r>
          </w:p>
        </w:tc>
      </w:tr>
      <w:tr>
        <w:trPr/>
        <w:tc>
          <w:tcPr>
            <w:cnfStyle w:val="001000010000"/>
            <w:tcW w:w="2326" w:type="dxa"/>
            <w:vAlign w:val="center"/>
          </w:tcPr>
          <w:p w14:paraId="0000004F">
            <w:pPr>
              <w:pStyle w:val="ТаблицаТекст"/>
              <w:rPr/>
            </w:pPr>
            <w:r>
              <w:t>Поддержка ПО, обеспечивающего</w:t>
            </w:r>
            <w:r>
              <w:t xml:space="preserve"> работу </w:t>
            </w:r>
            <w:r>
              <w:t>Скайори</w:t>
            </w:r>
            <w:r>
              <w:t xml:space="preserve"> ГИС</w:t>
            </w:r>
          </w:p>
        </w:tc>
        <w:tc>
          <w:tcPr>
            <w:cnfStyle w:val="000000010000"/>
            <w:tcW w:w="1638" w:type="dxa"/>
            <w:vAlign w:val="center"/>
          </w:tcPr>
          <w:p w14:paraId="00000050">
            <w:pPr>
              <w:pStyle w:val="ТаблицаТекст"/>
              <w:rPr/>
            </w:pPr>
            <w:r>
              <w:t>Поддержка СУБД</w:t>
            </w:r>
          </w:p>
        </w:tc>
        <w:tc>
          <w:tcPr>
            <w:cnfStyle w:val="000000010000"/>
            <w:tcW w:w="4404" w:type="dxa"/>
            <w:vAlign w:val="center"/>
          </w:tcPr>
          <w:p w14:paraId="00000051">
            <w:pPr>
              <w:pStyle w:val="ТаблицаТекст"/>
              <w:numPr>
                <w:ilvl w:val="0"/>
                <w:numId w:val="32"/>
              </w:numPr>
              <w:rPr/>
            </w:pPr>
            <w:r>
              <w:t>Ежедневный анализ</w:t>
            </w:r>
            <w:r>
              <w:t xml:space="preserve"> содержания журнальных файлов серверов баз данных.</w:t>
            </w:r>
          </w:p>
          <w:p w14:paraId="00000052">
            <w:pPr>
              <w:pStyle w:val="ТаблицаТекст"/>
              <w:numPr>
                <w:ilvl w:val="0"/>
                <w:numId w:val="32"/>
              </w:numPr>
              <w:rPr/>
            </w:pPr>
            <w:r>
              <w:t xml:space="preserve">Устранение потенциальных </w:t>
            </w:r>
            <w:r>
              <w:t xml:space="preserve">инцидентов, </w:t>
            </w:r>
            <w:r>
              <w:t>обнаруженных</w:t>
            </w:r>
            <w:r>
              <w:t xml:space="preserve"> в ходе мониторинга, которые </w:t>
            </w:r>
            <w:r>
              <w:t xml:space="preserve">могут привести к сбою </w:t>
            </w:r>
            <w:r>
              <w:t>Скайори</w:t>
            </w:r>
            <w:r>
              <w:t xml:space="preserve"> ГИС</w:t>
            </w:r>
            <w:r>
              <w:t>.</w:t>
            </w:r>
          </w:p>
          <w:p w14:paraId="00000053">
            <w:pPr>
              <w:pStyle w:val="ТаблицаТекст"/>
              <w:numPr>
                <w:ilvl w:val="0"/>
                <w:numId w:val="32"/>
              </w:numPr>
              <w:rPr/>
            </w:pPr>
            <w:r>
              <w:t>Мониторинг</w:t>
            </w:r>
            <w:r>
              <w:t xml:space="preserve"> запуска системных работ</w:t>
            </w:r>
            <w:r>
              <w:t xml:space="preserve"> </w:t>
            </w:r>
            <w:r>
              <w:t>по расписанию.</w:t>
            </w:r>
          </w:p>
        </w:tc>
        <w:tc>
          <w:tcPr>
            <w:cnfStyle w:val="000000010000"/>
            <w:tcW w:w="1260" w:type="dxa"/>
            <w:vAlign w:val="center"/>
          </w:tcPr>
          <w:p w14:paraId="00000054">
            <w:pPr>
              <w:pStyle w:val="ТаблицаТекст"/>
              <w:rPr/>
            </w:pPr>
            <w:r>
              <w:t xml:space="preserve">с </w:t>
            </w:r>
            <w:r>
              <w:t>09:00 до 18:</w:t>
            </w:r>
            <w:r>
              <w:t>00 в рабочие дни</w:t>
            </w:r>
          </w:p>
        </w:tc>
      </w:tr>
      <w:tr>
        <w:trPr/>
        <w:tc>
          <w:tcPr>
            <w:cnfStyle w:val="001000100000"/>
            <w:tcW w:w="2326" w:type="dxa"/>
            <w:vAlign w:val="center"/>
          </w:tcPr>
          <w:p w14:paraId="00000055">
            <w:pPr>
              <w:pStyle w:val="ТаблицаТекст"/>
              <w:rPr/>
            </w:pPr>
            <w:r>
              <w:t>Поддержка ПО, обеспечивающего</w:t>
            </w:r>
            <w:r>
              <w:t xml:space="preserve"> работу </w:t>
            </w:r>
            <w:r>
              <w:t>Скайори</w:t>
            </w:r>
            <w:r>
              <w:t xml:space="preserve"> ГИС</w:t>
            </w:r>
          </w:p>
        </w:tc>
        <w:tc>
          <w:tcPr>
            <w:cnfStyle w:val="000000100000"/>
            <w:tcW w:w="1638" w:type="dxa"/>
            <w:vAlign w:val="center"/>
          </w:tcPr>
          <w:p w14:paraId="00000056">
            <w:pPr>
              <w:pStyle w:val="ТаблицаТекст"/>
              <w:rPr/>
            </w:pPr>
            <w:r>
              <w:t>Техническая</w:t>
            </w:r>
            <w:r>
              <w:t xml:space="preserve"> </w:t>
            </w:r>
            <w:r>
              <w:t>поддержка служб индексирования и поиска</w:t>
            </w:r>
          </w:p>
        </w:tc>
        <w:tc>
          <w:tcPr>
            <w:cnfStyle w:val="000000100000"/>
            <w:tcW w:w="4404" w:type="dxa"/>
            <w:vAlign w:val="center"/>
          </w:tcPr>
          <w:p w14:paraId="00000057">
            <w:pPr>
              <w:pStyle w:val="ТаблицаТекст"/>
              <w:numPr>
                <w:ilvl w:val="0"/>
                <w:numId w:val="33"/>
              </w:numPr>
              <w:rPr/>
            </w:pPr>
            <w:r>
              <w:t>Еженедельный мониторинг</w:t>
            </w:r>
            <w:r>
              <w:t xml:space="preserve"> целостности индексной базы.</w:t>
            </w:r>
          </w:p>
          <w:p w14:paraId="00000058">
            <w:pPr>
              <w:pStyle w:val="ТаблицаТекст"/>
              <w:numPr>
                <w:ilvl w:val="0"/>
                <w:numId w:val="33"/>
              </w:numPr>
              <w:rPr/>
            </w:pPr>
            <w:r>
              <w:t>Мониторинг</w:t>
            </w:r>
            <w:r>
              <w:t xml:space="preserve"> очереди индексирования д</w:t>
            </w:r>
            <w:r>
              <w:t>анных.</w:t>
            </w:r>
          </w:p>
          <w:p w14:paraId="00000059">
            <w:pPr>
              <w:pStyle w:val="ТаблицаТекст"/>
              <w:numPr>
                <w:ilvl w:val="0"/>
                <w:numId w:val="33"/>
              </w:numPr>
              <w:rPr/>
            </w:pPr>
            <w:r>
              <w:t>Устранение возникших инцидентов.</w:t>
            </w:r>
          </w:p>
          <w:p w14:paraId="0000005A">
            <w:pPr>
              <w:pStyle w:val="ТаблицаТекст"/>
              <w:numPr>
                <w:ilvl w:val="0"/>
                <w:numId w:val="33"/>
              </w:numPr>
              <w:rPr/>
            </w:pPr>
            <w:r>
              <w:t>Устранение потенц</w:t>
            </w:r>
            <w:r>
              <w:t>иальных инцидентов, обнаруженных</w:t>
            </w:r>
            <w:r>
              <w:t xml:space="preserve"> в ходе мониторинга, которые </w:t>
            </w:r>
            <w:r>
              <w:t xml:space="preserve">могут привести к сбою </w:t>
            </w:r>
            <w:r>
              <w:t>Скайори</w:t>
            </w:r>
            <w:r>
              <w:t xml:space="preserve"> ГИС.</w:t>
            </w:r>
          </w:p>
        </w:tc>
        <w:tc>
          <w:tcPr>
            <w:cnfStyle w:val="000000100000"/>
            <w:tcW w:w="1260" w:type="dxa"/>
            <w:vAlign w:val="center"/>
          </w:tcPr>
          <w:p w14:paraId="0000005B">
            <w:pPr>
              <w:pStyle w:val="ТаблицаТекст"/>
              <w:rPr/>
            </w:pPr>
            <w:r>
              <w:t xml:space="preserve">с </w:t>
            </w:r>
            <w:r>
              <w:t>0</w:t>
            </w:r>
            <w:r>
              <w:t>9</w:t>
            </w:r>
            <w:r>
              <w:t>:</w:t>
            </w:r>
            <w:r>
              <w:t>00 до 18</w:t>
            </w:r>
            <w:r>
              <w:t>:</w:t>
            </w:r>
            <w:r>
              <w:t>00 в рабочие дни</w:t>
            </w:r>
          </w:p>
        </w:tc>
      </w:tr>
      <w:tr>
        <w:trPr/>
        <w:tc>
          <w:tcPr>
            <w:cnfStyle w:val="001000010000"/>
            <w:tcW w:w="2326" w:type="dxa"/>
            <w:vAlign w:val="center"/>
          </w:tcPr>
          <w:p w14:paraId="0000005C">
            <w:pPr>
              <w:pStyle w:val="ТаблицаТекст"/>
              <w:rPr/>
            </w:pPr>
            <w:r>
              <w:t>Решение</w:t>
            </w:r>
            <w:r>
              <w:t xml:space="preserve"> </w:t>
            </w:r>
            <w:r>
              <w:t>инцидентов</w:t>
            </w:r>
          </w:p>
        </w:tc>
        <w:tc>
          <w:tcPr>
            <w:cnfStyle w:val="000000010000"/>
            <w:tcW w:w="1638" w:type="dxa"/>
            <w:vAlign w:val="center"/>
          </w:tcPr>
          <w:p w14:paraId="0000005D">
            <w:pPr>
              <w:pStyle w:val="ТаблицаТекст"/>
              <w:rPr/>
            </w:pPr>
            <w:r>
              <w:t>Решение</w:t>
            </w:r>
            <w:r>
              <w:t xml:space="preserve"> </w:t>
            </w:r>
            <w:r>
              <w:t>инцидентов,</w:t>
            </w:r>
            <w:r>
              <w:t xml:space="preserve"> </w:t>
            </w:r>
            <w:r>
              <w:t>связанных с</w:t>
            </w:r>
            <w:r>
              <w:t xml:space="preserve"> </w:t>
            </w:r>
            <w:r>
              <w:t xml:space="preserve">функционированием прикладного ПО, и </w:t>
            </w:r>
            <w:r>
              <w:t>координация работ по их устранению</w:t>
            </w:r>
          </w:p>
        </w:tc>
        <w:tc>
          <w:tcPr>
            <w:cnfStyle w:val="000000010000"/>
            <w:tcW w:w="4404" w:type="dxa"/>
            <w:vAlign w:val="center"/>
          </w:tcPr>
          <w:p w14:paraId="0000005E">
            <w:pPr>
              <w:pStyle w:val="ТаблицаТекст"/>
              <w:numPr>
                <w:ilvl w:val="0"/>
                <w:numId w:val="34"/>
              </w:numPr>
              <w:rPr/>
            </w:pPr>
            <w:r>
              <w:t xml:space="preserve">Расследование инцидентов, </w:t>
            </w:r>
            <w:r>
              <w:t>связанных с функционированием</w:t>
            </w:r>
            <w:r>
              <w:t xml:space="preserve"> </w:t>
            </w:r>
            <w:r>
              <w:t>прикладно</w:t>
            </w:r>
            <w:r>
              <w:t>го ПО.</w:t>
            </w:r>
          </w:p>
          <w:p w14:paraId="0000005F">
            <w:pPr>
              <w:pStyle w:val="ТаблицаТекст"/>
              <w:numPr>
                <w:ilvl w:val="0"/>
                <w:numId w:val="34"/>
              </w:numPr>
              <w:rPr/>
            </w:pPr>
            <w:r>
              <w:t xml:space="preserve">Устранение инцидентов силами Исполнителя, либо обоснование гарантийной поддержки в решении </w:t>
            </w:r>
            <w:r>
              <w:t>данной проблемы</w:t>
            </w:r>
            <w:r>
              <w:t xml:space="preserve">, либо обоснование </w:t>
            </w:r>
            <w:r>
              <w:t>выхода</w:t>
            </w:r>
            <w:r>
              <w:t xml:space="preserve"> инцидента за пределы обязательств Исполнителя по действующему контракту.</w:t>
            </w:r>
          </w:p>
        </w:tc>
        <w:tc>
          <w:tcPr>
            <w:cnfStyle w:val="000000010000"/>
            <w:tcW w:w="1260" w:type="dxa"/>
            <w:vAlign w:val="center"/>
          </w:tcPr>
          <w:p w14:paraId="00000060">
            <w:pPr>
              <w:pStyle w:val="ТаблицаТекст"/>
              <w:rPr/>
            </w:pPr>
            <w:r>
              <w:t xml:space="preserve">с </w:t>
            </w:r>
            <w:r>
              <w:t>0</w:t>
            </w:r>
            <w:r>
              <w:t>9</w:t>
            </w:r>
            <w:r>
              <w:t>:</w:t>
            </w:r>
            <w:r>
              <w:t>00 до 18</w:t>
            </w:r>
            <w:r>
              <w:t>:</w:t>
            </w:r>
            <w:r>
              <w:t>00 в рабочие дни</w:t>
            </w:r>
          </w:p>
        </w:tc>
      </w:tr>
      <w:tr>
        <w:trPr/>
        <w:tc>
          <w:tcPr>
            <w:cnfStyle w:val="001000100000"/>
            <w:tcW w:w="2326" w:type="dxa"/>
            <w:vAlign w:val="center"/>
          </w:tcPr>
          <w:p w14:paraId="00000061">
            <w:pPr>
              <w:pStyle w:val="ТаблицаТекст"/>
              <w:rPr/>
            </w:pPr>
            <w:r>
              <w:t>Оказание</w:t>
            </w:r>
            <w:r>
              <w:t xml:space="preserve"> </w:t>
            </w:r>
            <w:r>
              <w:t>консультационных услуг по работе</w:t>
            </w:r>
            <w:r>
              <w:t xml:space="preserve"> со </w:t>
            </w:r>
            <w:r>
              <w:t>Скайори</w:t>
            </w:r>
            <w:r>
              <w:t xml:space="preserve"> ГИС</w:t>
            </w:r>
          </w:p>
        </w:tc>
        <w:tc>
          <w:tcPr>
            <w:cnfStyle w:val="000000100000"/>
            <w:tcW w:w="1638" w:type="dxa"/>
            <w:vAlign w:val="center"/>
          </w:tcPr>
          <w:p w14:paraId="00000062">
            <w:pPr>
              <w:pStyle w:val="ТаблицаТекст"/>
              <w:rPr/>
            </w:pPr>
            <w:r>
              <w:t xml:space="preserve">Оказание услуг </w:t>
            </w:r>
            <w:r>
              <w:t>2-ой линии поддержки по вопросам, связанным</w:t>
            </w:r>
            <w:r>
              <w:t xml:space="preserve"> с функционированием </w:t>
            </w:r>
            <w:r>
              <w:t>Скайори</w:t>
            </w:r>
            <w:r>
              <w:t xml:space="preserve"> ГИС</w:t>
            </w:r>
          </w:p>
        </w:tc>
        <w:tc>
          <w:tcPr>
            <w:cnfStyle w:val="000000100000"/>
            <w:tcW w:w="4404" w:type="dxa"/>
            <w:vAlign w:val="center"/>
          </w:tcPr>
          <w:p w14:paraId="00000063">
            <w:pPr>
              <w:pStyle w:val="ТаблицаТекст"/>
              <w:numPr>
                <w:ilvl w:val="0"/>
                <w:numId w:val="35"/>
              </w:numPr>
              <w:rPr/>
            </w:pPr>
            <w:r>
              <w:t xml:space="preserve">Оказание пользователям консультационных услуг по </w:t>
            </w:r>
            <w:r>
              <w:t>вопросам</w:t>
            </w:r>
            <w:r>
              <w:t xml:space="preserve"> </w:t>
            </w:r>
            <w:r>
              <w:t xml:space="preserve">работы с функционалом </w:t>
            </w:r>
            <w:r>
              <w:t>Скайори</w:t>
            </w:r>
            <w:r>
              <w:t xml:space="preserve"> </w:t>
            </w:r>
            <w:r>
              <w:t>ГИС.</w:t>
            </w:r>
          </w:p>
          <w:p w14:paraId="00000064">
            <w:pPr>
              <w:pStyle w:val="ТаблицаТекст"/>
              <w:numPr>
                <w:ilvl w:val="0"/>
                <w:numId w:val="35"/>
              </w:numPr>
              <w:rPr/>
            </w:pPr>
            <w:r>
              <w:t xml:space="preserve">Эскалация инцидентов и обращений на 3-ю линию </w:t>
            </w:r>
            <w:r>
              <w:t>поддержк</w:t>
            </w:r>
            <w:r>
              <w:t>и.</w:t>
            </w:r>
          </w:p>
          <w:p w14:paraId="00000065">
            <w:pPr>
              <w:pStyle w:val="ТаблицаТекст"/>
              <w:numPr>
                <w:ilvl w:val="0"/>
                <w:numId w:val="35"/>
              </w:numPr>
              <w:rPr/>
            </w:pPr>
            <w:r>
              <w:t xml:space="preserve">Создание и предоставление отчетов по обработке заявок, связанных с поддержкой </w:t>
            </w:r>
            <w:r>
              <w:t>Скайори</w:t>
            </w:r>
            <w:r>
              <w:t xml:space="preserve"> ГИС.</w:t>
            </w:r>
          </w:p>
        </w:tc>
        <w:tc>
          <w:tcPr>
            <w:cnfStyle w:val="000000100000"/>
            <w:tcW w:w="1260" w:type="dxa"/>
            <w:vAlign w:val="center"/>
          </w:tcPr>
          <w:p w14:paraId="00000066">
            <w:pPr>
              <w:pStyle w:val="ТаблицаТекст"/>
              <w:rPr/>
            </w:pPr>
            <w:r>
              <w:t xml:space="preserve">с </w:t>
            </w:r>
            <w:r>
              <w:t>09:00 до 18:</w:t>
            </w:r>
            <w:r>
              <w:t>00 в рабочие дни</w:t>
            </w:r>
          </w:p>
        </w:tc>
      </w:tr>
    </w:tbl>
    <w:p w14:paraId="00000067">
      <w:pPr>
        <w:pStyle w:val="ПриложениеПодзаголовок"/>
        <w:rPr>
          <w:lang w:eastAsia="ru-RU"/>
        </w:rPr>
      </w:pPr>
      <w:r>
        <w:rPr>
          <w:lang w:eastAsia="ru-RU"/>
        </w:rPr>
        <w:t>3</w:t>
      </w:r>
      <w:r>
        <w:rPr>
          <w:lang w:eastAsia="ru-RU"/>
        </w:rPr>
        <w:t xml:space="preserve"> Порядок приема и обработки обращений и инцидентов</w:t>
      </w:r>
    </w:p>
    <w:p w14:paraId="00000068">
      <w:pPr>
        <w:pStyle w:val="ПриложениеПодзаголовок"/>
        <w:rPr>
          <w:lang w:eastAsia="ru-RU"/>
        </w:rPr>
      </w:pPr>
      <w:r>
        <w:rPr>
          <w:lang w:eastAsia="ru-RU"/>
        </w:rPr>
        <w:t>3.1</w:t>
      </w:r>
      <w:r>
        <w:rPr>
          <w:lang w:eastAsia="ru-RU"/>
        </w:rPr>
        <w:t xml:space="preserve"> Режим работы службы технической поддержки</w:t>
      </w:r>
    </w:p>
    <w:p w14:paraId="00000069">
      <w:pPr>
        <w:pStyle w:val="ПриложениеТекст"/>
        <w:rPr/>
      </w:pPr>
      <w:r>
        <w:t>Услуги технической поддержки предост</w:t>
      </w:r>
      <w:r>
        <w:t>авляются с 09:00 до 18:</w:t>
      </w:r>
      <w:r>
        <w:t>00 по рабочим дням в соответствии с производственным календарем РФ.</w:t>
      </w:r>
    </w:p>
    <w:p w14:paraId="0000006A">
      <w:pPr>
        <w:pStyle w:val="ПриложениеПодзаголовок"/>
        <w:rPr>
          <w:lang w:eastAsia="ru-RU"/>
        </w:rPr>
      </w:pPr>
      <w:r>
        <w:rPr>
          <w:lang w:eastAsia="ru-RU"/>
        </w:rPr>
        <w:t xml:space="preserve">3.2 </w:t>
      </w:r>
      <w:r>
        <w:rPr>
          <w:lang w:eastAsia="ru-RU"/>
        </w:rPr>
        <w:t>Порядок подачи и обработки обращений в СТП</w:t>
      </w:r>
    </w:p>
    <w:p w14:paraId="0000006B">
      <w:pPr>
        <w:pStyle w:val="ПриложениеТекст"/>
        <w:rPr/>
      </w:pPr>
      <w:r>
        <w:t xml:space="preserve">Прием обращений в службу технической поддержки Исполнителя (далее – СТП) осуществляется по электронной почте: </w:t>
      </w:r>
      <w:r>
        <w:fldChar w:fldCharType="begin"/>
      </w:r>
      <w:r>
        <w:instrText xml:space="preserve">HYPERLINK "mailto:skyorigis@skyori.ru" </w:instrText>
      </w:r>
      <w:r>
        <w:fldChar w:fldCharType="separate"/>
      </w:r>
      <w:r>
        <w:rPr>
          <w:rStyle w:val="Hyperlink"/>
          <w:szCs w:val="26"/>
          <w:lang w:val="en-US"/>
        </w:rPr>
        <w:t>skyorigis</w:t>
      </w:r>
      <w:r>
        <w:rPr>
          <w:rStyle w:val="Hyperlink"/>
          <w:szCs w:val="26"/>
        </w:rPr>
        <w:t>@skyori.ru</w:t>
      </w:r>
      <w:r>
        <w:fldChar w:fldCharType="end"/>
      </w:r>
      <w:r>
        <w:t>.</w:t>
      </w:r>
    </w:p>
    <w:p w14:paraId="0000006C">
      <w:pPr>
        <w:pStyle w:val="ПриложениеТекст"/>
        <w:rPr/>
      </w:pPr>
      <w:r>
        <w:t>Классификация обращений приведена ниже (</w:t>
      </w:r>
      <w:r>
        <w:fldChar w:fldCharType="begin"/>
      </w:r>
      <w:r>
        <w:instrText xml:space="preserve"> REF _Ref191974117 \h </w:instrText>
      </w:r>
      <w:r>
        <w:fldChar w:fldCharType="separate"/>
      </w:r>
      <w:r>
        <w:t xml:space="preserve">Таблица </w:t>
      </w:r>
      <w:r>
        <w:t>2</w:t>
      </w:r>
      <w:r>
        <w:fldChar w:fldCharType="end"/>
      </w:r>
      <w:r>
        <w:t>)</w:t>
      </w:r>
      <w:r>
        <w:t>.</w:t>
      </w:r>
    </w:p>
    <w:p w14:paraId="0000006D">
      <w:pPr>
        <w:pStyle w:val="ПриложениеНазваниетаблицы"/>
        <w:rPr>
          <w:lang w:eastAsia="ru-RU"/>
        </w:rPr>
      </w:pPr>
      <w:bookmarkStart w:id="9" w:name="_Ref191974117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2</w:t>
      </w:r>
      <w:r>
        <w:fldChar w:fldCharType="end"/>
      </w:r>
      <w:bookmarkEnd w:id="9"/>
      <w:r>
        <w:t xml:space="preserve"> – </w:t>
      </w:r>
      <w:r>
        <w:rPr>
          <w:lang w:eastAsia="ru-RU"/>
        </w:rPr>
        <w:t>Классификация обращений</w:t>
      </w: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/>
      </w:tblPr>
      <w:tblGrid>
        <w:gridCol w:w="2095"/>
        <w:gridCol w:w="8099"/>
      </w:tblGrid>
      <w:tr>
        <w:trPr>
          <w:tblHeader w:val="on"/>
        </w:trPr>
        <w:tc>
          <w:tcPr>
            <w:cnfStyle w:val="101000000000"/>
            <w:tcW w:w="198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6E">
            <w:pPr>
              <w:pStyle w:val="ТаблицаШапка"/>
              <w:rPr/>
            </w:pPr>
            <w:r>
              <w:t>Категория</w:t>
            </w:r>
          </w:p>
        </w:tc>
        <w:tc>
          <w:tcPr>
            <w:cnfStyle w:val="100000000000"/>
            <w:tcW w:w="7654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6F">
            <w:pPr>
              <w:pStyle w:val="ТаблицаШапка"/>
              <w:rPr/>
            </w:pPr>
            <w:r>
              <w:t>Описание</w:t>
            </w:r>
          </w:p>
        </w:tc>
      </w:tr>
      <w:tr>
        <w:trPr/>
        <w:tc>
          <w:tcPr>
            <w:cnfStyle w:val="001000100000"/>
            <w:tcW w:w="1980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0">
            <w:pPr>
              <w:pStyle w:val="ТаблицаТекст"/>
              <w:rPr/>
            </w:pPr>
            <w:r>
              <w:t>Запрос на обслуживание</w:t>
            </w:r>
            <w:r>
              <w:rPr/>
              <w:br w:type="textWrapping"/>
            </w:r>
            <w:r>
              <w:t>(RFS)</w:t>
            </w:r>
          </w:p>
        </w:tc>
        <w:tc>
          <w:tcPr>
            <w:cnfStyle w:val="000000100000"/>
            <w:tcW w:w="7654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1">
            <w:pPr>
              <w:pStyle w:val="ТаблицаТекст"/>
              <w:rPr/>
            </w:pPr>
            <w:r>
              <w:t>Обращение пользо</w:t>
            </w:r>
            <w:r>
              <w:t xml:space="preserve">вателя для получения нового или </w:t>
            </w:r>
            <w:r>
              <w:t>дополнительного обслуживания, либо запрос пользователя на выполнение штатных операций с поддерживае</w:t>
            </w:r>
            <w:r>
              <w:t>мыми информационными системами.</w:t>
            </w:r>
          </w:p>
          <w:p w14:paraId="00000072">
            <w:pPr>
              <w:pStyle w:val="ТаблицаТекст"/>
              <w:rPr/>
            </w:pPr>
            <w:r>
              <w:t xml:space="preserve">Включает подкатегории: </w:t>
            </w:r>
          </w:p>
          <w:p w14:paraId="00000073">
            <w:pPr>
              <w:pStyle w:val="ТаблицаТекст"/>
              <w:numPr>
                <w:ilvl w:val="0"/>
                <w:numId w:val="36"/>
              </w:numPr>
              <w:rPr/>
            </w:pPr>
            <w:r>
              <w:t>запрос на информацию (RFI);</w:t>
            </w:r>
          </w:p>
          <w:p w14:paraId="00000074">
            <w:pPr>
              <w:pStyle w:val="ТаблицаТекст"/>
              <w:numPr>
                <w:ilvl w:val="0"/>
                <w:numId w:val="36"/>
              </w:numPr>
              <w:rPr/>
            </w:pPr>
            <w:r>
              <w:t>запрос на документацию (RFD).</w:t>
            </w:r>
          </w:p>
        </w:tc>
      </w:tr>
      <w:tr>
        <w:trPr/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5">
            <w:pPr>
              <w:pStyle w:val="ТаблицаТекст"/>
              <w:rPr/>
            </w:pPr>
            <w:r>
              <w:t>Запрос на информацию</w:t>
            </w:r>
            <w:r>
              <w:rPr/>
              <w:br w:type="textWrapping"/>
            </w:r>
            <w:r>
              <w:t>(RFI)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6">
            <w:pPr>
              <w:pStyle w:val="ТаблицаТекст"/>
              <w:rPr/>
            </w:pPr>
            <w:r>
              <w:t>Подкатегория запр</w:t>
            </w:r>
            <w:r>
              <w:t xml:space="preserve">осов на обслуживание. Обращение </w:t>
            </w:r>
            <w:r>
              <w:t>пользователя за получением информации о поддерживаемой информационной систем</w:t>
            </w:r>
            <w:r>
              <w:t>е или предоставляемой ИТ-услуге</w:t>
            </w:r>
          </w:p>
        </w:tc>
      </w:tr>
      <w:tr>
        <w:trPr/>
        <w:tc>
          <w:tcPr>
            <w:cnfStyle w:val="00100010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7">
            <w:pPr>
              <w:pStyle w:val="ТаблицаТекст"/>
              <w:rPr/>
            </w:pPr>
            <w:r>
              <w:t>Запрос на документацию</w:t>
            </w:r>
            <w:r>
              <w:rPr/>
              <w:br w:type="textWrapping"/>
            </w:r>
            <w:r>
              <w:t>(RFD)</w:t>
            </w:r>
          </w:p>
        </w:tc>
        <w:tc>
          <w:tcPr>
            <w:cnfStyle w:val="00000010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8">
            <w:pPr>
              <w:pStyle w:val="ТаблицаТекст"/>
              <w:rPr/>
            </w:pPr>
            <w:r>
              <w:t>Подкатегория запр</w:t>
            </w:r>
            <w:r>
              <w:t xml:space="preserve">осов на обслуживание. Обращение </w:t>
            </w:r>
            <w:r>
              <w:t>пользователя за получением документации по информационной инфраструк</w:t>
            </w:r>
            <w:r>
              <w:t>туре или ИТ-услуге</w:t>
            </w:r>
          </w:p>
        </w:tc>
      </w:tr>
      <w:tr>
        <w:trPr>
          <w:trHeight w:val="1134"/>
        </w:trPr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9">
            <w:pPr>
              <w:pStyle w:val="ТаблицаТекст"/>
              <w:rPr/>
            </w:pPr>
            <w:r>
              <w:t>Инцидент (</w:t>
            </w:r>
            <w:r>
              <w:rPr>
                <w:lang w:val="en-US"/>
              </w:rPr>
              <w:t>Incident</w:t>
            </w:r>
            <w:r>
              <w:t>)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A">
            <w:pPr>
              <w:pStyle w:val="ТаблицаТекст"/>
              <w:rPr/>
            </w:pPr>
            <w:r>
              <w:t>Обращение пользователя по по</w:t>
            </w:r>
            <w:r>
              <w:t xml:space="preserve">воду сбоя или иного </w:t>
            </w:r>
            <w:r>
              <w:t>нарушения раб</w:t>
            </w:r>
            <w:r>
              <w:t xml:space="preserve">оты, которое привело к отказу в </w:t>
            </w:r>
            <w:r>
              <w:t>предоставлении ИТ-услуги или недопустимому снижению уровня предоставления ИТ-услуги. Включает инциденты, связанные с прогр</w:t>
            </w:r>
            <w:r>
              <w:t>аммным обеспечением</w:t>
            </w:r>
          </w:p>
        </w:tc>
      </w:tr>
    </w:tbl>
    <w:p w14:paraId="0000007B">
      <w:pPr>
        <w:pStyle w:val="ПриложениеТекст"/>
        <w:spacing w:before="120"/>
        <w:rPr/>
      </w:pPr>
      <w:r>
        <w:t>Для всех обращений дополнительно устанавливает</w:t>
      </w:r>
      <w:r>
        <w:t>ся приоритет (</w:t>
      </w:r>
      <w:r>
        <w:fldChar w:fldCharType="begin"/>
      </w:r>
      <w:r>
        <w:instrText xml:space="preserve"> REF _Ref191974185 \h </w:instrText>
      </w:r>
      <w:r>
        <w:fldChar w:fldCharType="separate"/>
      </w:r>
      <w:r>
        <w:t xml:space="preserve">Таблица </w:t>
      </w:r>
      <w:r>
        <w:t>3</w:t>
      </w:r>
      <w:r>
        <w:fldChar w:fldCharType="end"/>
      </w:r>
      <w:r>
        <w:t>)</w:t>
      </w:r>
      <w:r>
        <w:t xml:space="preserve"> и уровень влияния на выполнение бизнес-процессов Заказчика </w:t>
      </w:r>
      <w:r>
        <w:t>(</w:t>
      </w:r>
      <w:r>
        <w:fldChar w:fldCharType="begin"/>
      </w:r>
      <w:r>
        <w:instrText xml:space="preserve"> REF _Ref191974188 \h </w:instrText>
      </w:r>
      <w:r>
        <w:fldChar w:fldCharType="separate"/>
      </w:r>
      <w:r>
        <w:t xml:space="preserve">Таблица </w:t>
      </w:r>
      <w:r>
        <w:t>4</w:t>
      </w:r>
      <w:r>
        <w:fldChar w:fldCharType="end"/>
      </w:r>
      <w:r>
        <w:t>)</w:t>
      </w:r>
      <w:r>
        <w:t>.</w:t>
      </w:r>
    </w:p>
    <w:p w14:paraId="0000007C">
      <w:pPr>
        <w:pStyle w:val="ПриложениеНазваниетаблицы"/>
        <w:rPr>
          <w:lang w:eastAsia="ru-RU"/>
        </w:rPr>
      </w:pPr>
      <w:bookmarkStart w:id="10" w:name="_Ref191974185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3</w:t>
      </w:r>
      <w:r>
        <w:fldChar w:fldCharType="end"/>
      </w:r>
      <w:bookmarkEnd w:id="10"/>
      <w:r>
        <w:t xml:space="preserve"> – </w:t>
      </w:r>
      <w:r>
        <w:rPr>
          <w:lang w:eastAsia="ru-RU"/>
        </w:rPr>
        <w:t>Приоритет обращения</w:t>
      </w: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/>
      </w:tblPr>
      <w:tblGrid>
        <w:gridCol w:w="2095"/>
        <w:gridCol w:w="8099"/>
      </w:tblGrid>
      <w:tr>
        <w:trPr>
          <w:tblHeader w:val="on"/>
        </w:trPr>
        <w:tc>
          <w:tcPr>
            <w:cnfStyle w:val="101000000000"/>
            <w:tcW w:w="198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7D">
            <w:pPr>
              <w:pStyle w:val="ТаблицаШапка"/>
              <w:rPr/>
            </w:pPr>
            <w:r>
              <w:t>Приоритет</w:t>
            </w:r>
          </w:p>
        </w:tc>
        <w:tc>
          <w:tcPr>
            <w:cnfStyle w:val="100000000000"/>
            <w:tcW w:w="7654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7E">
            <w:pPr>
              <w:pStyle w:val="ТаблицаШапка"/>
              <w:rPr/>
            </w:pPr>
            <w:r>
              <w:t>Пример обращения</w:t>
            </w:r>
          </w:p>
        </w:tc>
      </w:tr>
      <w:tr>
        <w:trPr/>
        <w:tc>
          <w:tcPr>
            <w:cnfStyle w:val="001000100000"/>
            <w:tcW w:w="1980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7F">
            <w:pPr>
              <w:pStyle w:val="ТаблицаТекст"/>
              <w:rPr/>
            </w:pPr>
            <w:r>
              <w:t>Низкий</w:t>
            </w:r>
          </w:p>
        </w:tc>
        <w:tc>
          <w:tcPr>
            <w:cnfStyle w:val="000000100000"/>
            <w:tcW w:w="7654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0">
            <w:pPr>
              <w:pStyle w:val="ТаблицаТекст"/>
              <w:rPr/>
            </w:pPr>
            <w:r>
              <w:t>Заявка от сотрудника, основная деятельность которого не связ</w:t>
            </w:r>
            <w:r>
              <w:t>ана с основным бизнес-процессом; заявка</w:t>
            </w:r>
            <w:r>
              <w:t xml:space="preserve"> связана с некритичными для пользова</w:t>
            </w:r>
            <w:r>
              <w:t>теля вспомогательными функциями</w:t>
            </w:r>
          </w:p>
        </w:tc>
      </w:tr>
      <w:tr>
        <w:trPr/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1">
            <w:pPr>
              <w:pStyle w:val="ТаблицаТекст"/>
              <w:rPr/>
            </w:pPr>
            <w:r>
              <w:t>Средний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2">
            <w:pPr>
              <w:pStyle w:val="ТаблицаТекст"/>
              <w:rPr/>
            </w:pPr>
            <w:r>
              <w:t>Заявка, не попадающая под описание низкого, высокого и критического п</w:t>
            </w:r>
            <w:r>
              <w:t>риоритета (статус по умолчанию)</w:t>
            </w:r>
          </w:p>
        </w:tc>
      </w:tr>
      <w:tr>
        <w:trPr/>
        <w:tc>
          <w:tcPr>
            <w:cnfStyle w:val="00100010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3">
            <w:pPr>
              <w:pStyle w:val="ТаблицаТекст"/>
              <w:rPr/>
            </w:pPr>
            <w:r>
              <w:t xml:space="preserve">Высокий </w:t>
            </w:r>
          </w:p>
        </w:tc>
        <w:tc>
          <w:tcPr>
            <w:cnfStyle w:val="00000010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4">
            <w:pPr>
              <w:pStyle w:val="ТаблицаТекст"/>
              <w:rPr/>
            </w:pPr>
            <w:r>
              <w:t>Заявка от сотрудника, деятельн</w:t>
            </w:r>
            <w:r>
              <w:t>ость которого в данный момент сильно влияет на бизнес-процесс</w:t>
            </w:r>
          </w:p>
        </w:tc>
      </w:tr>
      <w:tr>
        <w:trPr/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5">
            <w:pPr>
              <w:pStyle w:val="ТаблицаТекст"/>
              <w:rPr/>
            </w:pPr>
            <w:r>
              <w:t>Критический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6">
            <w:pPr>
              <w:pStyle w:val="ТаблицаТекст"/>
              <w:rPr/>
            </w:pPr>
            <w:r>
              <w:t>Заявка от высокоуровневого пользователя, деятельность которого в данный момент крити</w:t>
            </w:r>
            <w:r>
              <w:t>чески влияет на бизнес-процесс; з</w:t>
            </w:r>
            <w:r>
              <w:t>аявка от руководства Заказчика</w:t>
            </w:r>
          </w:p>
        </w:tc>
      </w:tr>
    </w:tbl>
    <w:p w14:paraId="00000087">
      <w:pPr>
        <w:pStyle w:val="ПриложениеНазваниетаблицы"/>
        <w:rPr>
          <w:lang w:eastAsia="ru-RU"/>
        </w:rPr>
      </w:pPr>
      <w:bookmarkStart w:id="11" w:name="_Ref19197418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4</w:t>
      </w:r>
      <w:r>
        <w:fldChar w:fldCharType="end"/>
      </w:r>
      <w:bookmarkEnd w:id="11"/>
      <w:r>
        <w:t xml:space="preserve"> – </w:t>
      </w:r>
      <w:r>
        <w:rPr>
          <w:lang w:eastAsia="ru-RU"/>
        </w:rPr>
        <w:t>Уровень влияния обращения</w:t>
      </w: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/>
      </w:tblPr>
      <w:tblGrid>
        <w:gridCol w:w="2095"/>
        <w:gridCol w:w="8099"/>
      </w:tblGrid>
      <w:tr>
        <w:trPr>
          <w:tblHeader w:val="on"/>
        </w:trPr>
        <w:tc>
          <w:tcPr>
            <w:cnfStyle w:val="101000000000"/>
            <w:tcW w:w="1980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88">
            <w:pPr>
              <w:pStyle w:val="ТаблицаШапка"/>
              <w:rPr/>
            </w:pPr>
            <w:r>
              <w:t>Влияние</w:t>
            </w:r>
          </w:p>
        </w:tc>
        <w:tc>
          <w:tcPr>
            <w:cnfStyle w:val="100000000000"/>
            <w:tcW w:w="7654" w:type="dxa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 w14:paraId="00000089">
            <w:pPr>
              <w:pStyle w:val="ТаблицаШапка"/>
              <w:rPr/>
            </w:pPr>
            <w:r>
              <w:t>Количество пользователей</w:t>
            </w:r>
          </w:p>
        </w:tc>
      </w:tr>
      <w:tr>
        <w:trPr>
          <w:trHeight w:val="454"/>
        </w:trPr>
        <w:tc>
          <w:tcPr>
            <w:cnfStyle w:val="001000100000"/>
            <w:tcW w:w="1980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A">
            <w:pPr>
              <w:pStyle w:val="ТаблицаТекст"/>
              <w:rPr/>
            </w:pPr>
            <w:r>
              <w:t xml:space="preserve">Низкое </w:t>
            </w:r>
          </w:p>
        </w:tc>
        <w:tc>
          <w:tcPr>
            <w:cnfStyle w:val="000000100000"/>
            <w:tcW w:w="7654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B">
            <w:pPr>
              <w:pStyle w:val="ТаблицаТекст"/>
              <w:rPr/>
            </w:pPr>
            <w:r>
              <w:t>Один пользователь ИТ-услуги</w:t>
            </w:r>
          </w:p>
        </w:tc>
      </w:tr>
      <w:tr>
        <w:trPr>
          <w:trHeight w:val="567"/>
        </w:trPr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C">
            <w:pPr>
              <w:pStyle w:val="ТаблицаТекст"/>
              <w:rPr/>
            </w:pPr>
            <w:r>
              <w:t xml:space="preserve">Среднее 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D">
            <w:pPr>
              <w:pStyle w:val="ТаблицаТекст"/>
              <w:rPr>
                <w:highlight w:val="yellow"/>
              </w:rPr>
            </w:pPr>
            <w:r>
              <w:t>Структурное подразделение, в состав которог</w:t>
            </w:r>
            <w:r>
              <w:t>о входят пользователи ИТ-услуги</w:t>
            </w:r>
          </w:p>
        </w:tc>
      </w:tr>
      <w:tr>
        <w:trPr>
          <w:trHeight w:val="567"/>
        </w:trPr>
        <w:tc>
          <w:tcPr>
            <w:cnfStyle w:val="00100010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E">
            <w:pPr>
              <w:pStyle w:val="ТаблицаТекст"/>
              <w:rPr/>
            </w:pPr>
            <w:r>
              <w:t xml:space="preserve">Высокое </w:t>
            </w:r>
          </w:p>
        </w:tc>
        <w:tc>
          <w:tcPr>
            <w:cnfStyle w:val="00000010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8F">
            <w:pPr>
              <w:pStyle w:val="ТаблицаТекст"/>
              <w:rPr>
                <w:highlight w:val="yellow"/>
              </w:rPr>
            </w:pPr>
            <w:r>
              <w:t>Несколько структурных подразделений, в состав которого входят пользователи ИТ-услуги</w:t>
            </w:r>
          </w:p>
        </w:tc>
      </w:tr>
      <w:tr>
        <w:trPr>
          <w:trHeight w:val="454"/>
        </w:trPr>
        <w:tc>
          <w:tcPr>
            <w:cnfStyle w:val="001000010000"/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0">
            <w:pPr>
              <w:pStyle w:val="ТаблицаТекст"/>
              <w:rPr/>
            </w:pPr>
            <w:r>
              <w:t xml:space="preserve">Максимальное </w:t>
            </w:r>
          </w:p>
        </w:tc>
        <w:tc>
          <w:tcPr>
            <w:cnfStyle w:val="000000010000"/>
            <w:tcW w:w="7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1">
            <w:pPr>
              <w:pStyle w:val="ТаблицаТекст"/>
              <w:rPr>
                <w:highlight w:val="yellow"/>
              </w:rPr>
            </w:pPr>
            <w:r>
              <w:t>Все пользователи ИТ-</w:t>
            </w:r>
            <w:r>
              <w:t>услуги</w:t>
            </w:r>
          </w:p>
        </w:tc>
      </w:tr>
    </w:tbl>
    <w:p w14:paraId="00000092">
      <w:pPr>
        <w:pStyle w:val="ПриложениеТекст"/>
        <w:spacing w:before="120"/>
        <w:rPr/>
      </w:pPr>
      <w:r>
        <w:t>Сроки реакции на обращения устанавливаются в зависимости от их приоритета и/или уровня влияния на выполнение бизнес-процессов Заказчика</w:t>
      </w:r>
      <w:r>
        <w:t xml:space="preserve">. Сроки </w:t>
      </w:r>
      <w:r>
        <w:t xml:space="preserve">реакции </w:t>
      </w:r>
      <w:r>
        <w:t xml:space="preserve">по умолчанию </w:t>
      </w:r>
      <w:r>
        <w:t>представлены ниже (</w:t>
      </w:r>
      <w:r>
        <w:fldChar w:fldCharType="begin"/>
      </w:r>
      <w:r>
        <w:instrText xml:space="preserve"> REF _Ref191974237 \h </w:instrText>
      </w:r>
      <w:r>
        <w:fldChar w:fldCharType="separate"/>
      </w:r>
      <w:r>
        <w:t xml:space="preserve">Таблица </w:t>
      </w:r>
      <w:r>
        <w:t>5</w:t>
      </w:r>
      <w:r>
        <w:fldChar w:fldCharType="end"/>
      </w:r>
      <w:r>
        <w:t>)</w:t>
      </w:r>
      <w:r>
        <w:t>.</w:t>
      </w:r>
    </w:p>
    <w:p w14:paraId="00000093">
      <w:pPr>
        <w:pStyle w:val="ПриложениеНазваниетаблицы"/>
        <w:rPr>
          <w:lang w:eastAsia="ru-RU"/>
        </w:rPr>
      </w:pPr>
      <w:bookmarkStart w:id="12" w:name="_Ref191974237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5</w:t>
      </w:r>
      <w:r>
        <w:fldChar w:fldCharType="end"/>
      </w:r>
      <w:bookmarkEnd w:id="12"/>
      <w:r>
        <w:t xml:space="preserve"> – </w:t>
      </w:r>
      <w:r>
        <w:rPr>
          <w:lang w:eastAsia="ru-RU"/>
        </w:rPr>
        <w:t>Сроки решения инцидентов</w:t>
      </w: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/>
      </w:tblPr>
      <w:tblGrid>
        <w:gridCol w:w="2122"/>
        <w:gridCol w:w="2073"/>
        <w:gridCol w:w="1950"/>
        <w:gridCol w:w="1950"/>
        <w:gridCol w:w="2100"/>
      </w:tblGrid>
      <w:tr>
        <w:trPr/>
        <w:tc>
          <w:tcPr>
            <w:cnfStyle w:val="101000000000"/>
            <w:tcW w:w="212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0000094">
            <w:pPr>
              <w:pStyle w:val="ТаблицаШапка"/>
              <w:rPr/>
            </w:pPr>
            <w:r>
              <w:t>Приоритет</w:t>
            </w:r>
          </w:p>
        </w:tc>
        <w:tc>
          <w:tcPr>
            <w:cnfStyle w:val="100000000000"/>
            <w:tcW w:w="80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5">
            <w:pPr>
              <w:pStyle w:val="ТаблицаШапка"/>
              <w:rPr/>
            </w:pPr>
            <w:r>
              <w:t xml:space="preserve">Время реакции на запросы Заказчика (в часах) </w:t>
            </w:r>
          </w:p>
          <w:p w14:paraId="00000096">
            <w:pPr>
              <w:pStyle w:val="ТаблицаШапка"/>
              <w:rPr/>
            </w:pPr>
            <w:r>
              <w:t>в зависимости от влияния</w:t>
            </w:r>
          </w:p>
        </w:tc>
      </w:tr>
      <w:tr>
        <w:trPr/>
        <w:tc>
          <w:tcPr>
            <w:cnfStyle w:val="001000100000"/>
            <w:tcW w:w="212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cnfStyle w:val="000000100000"/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8">
            <w:pPr>
              <w:pStyle w:val="ТаблицаТекст"/>
              <w:jc w:val="center"/>
              <w:rPr/>
            </w:pPr>
            <w:r>
              <w:t>Низкое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9">
            <w:pPr>
              <w:pStyle w:val="ТаблицаТекст"/>
              <w:jc w:val="center"/>
              <w:rPr/>
            </w:pPr>
            <w:r>
              <w:t>Среднее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A">
            <w:pPr>
              <w:pStyle w:val="ТаблицаТекст"/>
              <w:jc w:val="center"/>
              <w:rPr/>
            </w:pPr>
            <w:r>
              <w:t>Высокое</w:t>
            </w:r>
          </w:p>
        </w:tc>
        <w:tc>
          <w:tcPr>
            <w:cnfStyle w:val="000000100000"/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B">
            <w:pPr>
              <w:pStyle w:val="ТаблицаТекст"/>
              <w:jc w:val="center"/>
              <w:rPr/>
            </w:pPr>
            <w:r>
              <w:t>Максимальное</w:t>
            </w:r>
          </w:p>
        </w:tc>
      </w:tr>
      <w:tr>
        <w:trPr/>
        <w:tc>
          <w:tcPr>
            <w:cnfStyle w:val="001000010000"/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C">
            <w:pPr>
              <w:pStyle w:val="ТаблицаТекст"/>
              <w:rPr/>
            </w:pPr>
            <w:r>
              <w:t>Низкий</w:t>
            </w:r>
          </w:p>
        </w:tc>
        <w:tc>
          <w:tcPr>
            <w:cnfStyle w:val="000000010000"/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D">
            <w:pPr>
              <w:pStyle w:val="ТаблицаТекст"/>
              <w:jc w:val="center"/>
              <w:rPr/>
            </w:pPr>
            <w:r>
              <w:t>96</w:t>
            </w:r>
          </w:p>
        </w:tc>
        <w:tc>
          <w:tcPr>
            <w:cnfStyle w:val="00000001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E">
            <w:pPr>
              <w:pStyle w:val="ТаблицаТекст"/>
              <w:jc w:val="center"/>
              <w:rPr/>
            </w:pPr>
            <w:r>
              <w:t>72</w:t>
            </w:r>
          </w:p>
        </w:tc>
        <w:tc>
          <w:tcPr>
            <w:cnfStyle w:val="00000001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9F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010000"/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0">
            <w:pPr>
              <w:pStyle w:val="ТаблицаТекст"/>
              <w:jc w:val="center"/>
              <w:rPr/>
            </w:pPr>
            <w:r>
              <w:t>48</w:t>
            </w:r>
          </w:p>
        </w:tc>
      </w:tr>
      <w:tr>
        <w:trPr/>
        <w:tc>
          <w:tcPr>
            <w:cnfStyle w:val="001000100000"/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1">
            <w:pPr>
              <w:pStyle w:val="ТаблицаТекст"/>
              <w:rPr/>
            </w:pPr>
            <w:r>
              <w:t>Средний</w:t>
            </w:r>
          </w:p>
        </w:tc>
        <w:tc>
          <w:tcPr>
            <w:cnfStyle w:val="000000100000"/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2">
            <w:pPr>
              <w:pStyle w:val="ТаблицаТекст"/>
              <w:jc w:val="center"/>
              <w:rPr/>
            </w:pPr>
            <w:r>
              <w:t>72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3">
            <w:pPr>
              <w:pStyle w:val="ТаблицаТекст"/>
              <w:jc w:val="center"/>
              <w:rPr/>
            </w:pPr>
            <w:r>
              <w:t>72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4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100000"/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5">
            <w:pPr>
              <w:pStyle w:val="ТаблицаТекст"/>
              <w:jc w:val="center"/>
              <w:rPr/>
            </w:pPr>
            <w:r>
              <w:t>48</w:t>
            </w:r>
          </w:p>
        </w:tc>
      </w:tr>
      <w:tr>
        <w:trPr/>
        <w:tc>
          <w:tcPr>
            <w:cnfStyle w:val="001000010000"/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6">
            <w:pPr>
              <w:pStyle w:val="ТаблицаТекст"/>
              <w:rPr/>
            </w:pPr>
            <w:r>
              <w:t>Высокий</w:t>
            </w:r>
          </w:p>
        </w:tc>
        <w:tc>
          <w:tcPr>
            <w:cnfStyle w:val="000000010000"/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7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01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8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01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9">
            <w:pPr>
              <w:pStyle w:val="ТаблицаТекст"/>
              <w:jc w:val="center"/>
              <w:rPr/>
            </w:pPr>
            <w:r>
              <w:t>24</w:t>
            </w:r>
          </w:p>
        </w:tc>
        <w:tc>
          <w:tcPr>
            <w:cnfStyle w:val="000000010000"/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A">
            <w:pPr>
              <w:pStyle w:val="ТаблицаТекст"/>
              <w:jc w:val="center"/>
              <w:rPr/>
            </w:pPr>
            <w:r>
              <w:t>12</w:t>
            </w:r>
          </w:p>
        </w:tc>
      </w:tr>
      <w:tr>
        <w:trPr/>
        <w:tc>
          <w:tcPr>
            <w:cnfStyle w:val="001000100000"/>
            <w:tcW w:w="2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B">
            <w:pPr>
              <w:pStyle w:val="ТаблицаТекст"/>
              <w:rPr/>
            </w:pPr>
            <w:r>
              <w:t>Критический</w:t>
            </w:r>
          </w:p>
        </w:tc>
        <w:tc>
          <w:tcPr>
            <w:cnfStyle w:val="000000100000"/>
            <w:tcW w:w="2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C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D">
            <w:pPr>
              <w:pStyle w:val="ТаблицаТекст"/>
              <w:jc w:val="center"/>
              <w:rPr/>
            </w:pPr>
            <w:r>
              <w:t>48</w:t>
            </w:r>
          </w:p>
        </w:tc>
        <w:tc>
          <w:tcPr>
            <w:cnfStyle w:val="000000100000"/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E">
            <w:pPr>
              <w:pStyle w:val="ТаблицаТекст"/>
              <w:jc w:val="center"/>
              <w:rPr/>
            </w:pPr>
            <w:r>
              <w:t>12</w:t>
            </w:r>
          </w:p>
        </w:tc>
        <w:tc>
          <w:tcPr>
            <w:cnfStyle w:val="000000100000"/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000AF">
            <w:pPr>
              <w:pStyle w:val="ТаблицаТекст"/>
              <w:jc w:val="center"/>
              <w:rPr/>
            </w:pPr>
            <w:r>
              <w:t>8</w:t>
            </w:r>
          </w:p>
        </w:tc>
      </w:tr>
    </w:tbl>
    <w:p w14:paraId="000000B0">
      <w:pPr>
        <w:pStyle w:val="ПриложениеПодзаголовок"/>
        <w:rPr>
          <w:lang w:eastAsia="ru-RU"/>
        </w:rPr>
      </w:pPr>
      <w:r>
        <w:rPr>
          <w:lang w:eastAsia="ru-RU"/>
        </w:rPr>
        <w:t xml:space="preserve">3.3 </w:t>
      </w:r>
      <w:r>
        <w:rPr>
          <w:lang w:eastAsia="ru-RU"/>
        </w:rPr>
        <w:t>Порядок взаимодействия с пользователями</w:t>
      </w:r>
    </w:p>
    <w:p w14:paraId="000000B1">
      <w:pPr>
        <w:pStyle w:val="ПриложениеТекст"/>
        <w:rPr/>
      </w:pPr>
      <w:r>
        <w:t>Заказчик направляет извещение</w:t>
      </w:r>
      <w:r>
        <w:t xml:space="preserve"> </w:t>
      </w:r>
      <w:r>
        <w:t>на электронную почту</w:t>
      </w:r>
      <w:r>
        <w:t xml:space="preserve"> </w:t>
      </w:r>
      <w:r>
        <w:fldChar w:fldCharType="begin"/>
      </w:r>
      <w:r>
        <w:instrText xml:space="preserve">HYPERLINK "mailto:skyorigis@skyori.ru" </w:instrText>
      </w:r>
      <w:r>
        <w:fldChar w:fldCharType="separate"/>
      </w:r>
      <w:r>
        <w:rPr>
          <w:rStyle w:val="Hyperlink"/>
          <w:szCs w:val="26"/>
          <w:lang w:val="en-US"/>
        </w:rPr>
        <w:t>skyorigis</w:t>
      </w:r>
      <w:r>
        <w:rPr>
          <w:rStyle w:val="Hyperlink"/>
          <w:szCs w:val="26"/>
        </w:rPr>
        <w:t>@skyori.ru</w:t>
      </w:r>
      <w:r>
        <w:fldChar w:fldCharType="end"/>
      </w:r>
      <w:r>
        <w:t xml:space="preserve"> </w:t>
      </w:r>
      <w:r>
        <w:t xml:space="preserve">в </w:t>
      </w:r>
      <w:r>
        <w:t xml:space="preserve">рабочее время СТП при </w:t>
      </w:r>
      <w:r>
        <w:t>обнаружении</w:t>
      </w:r>
      <w:r>
        <w:t>:</w:t>
      </w:r>
    </w:p>
    <w:p w14:paraId="000000B2">
      <w:pPr>
        <w:pStyle w:val="ПриложениеМаркированныйсписок"/>
        <w:rPr/>
      </w:pPr>
      <w:r>
        <w:t>д</w:t>
      </w:r>
      <w:r>
        <w:t>ефектов</w:t>
      </w:r>
      <w:r>
        <w:t xml:space="preserve"> </w:t>
      </w:r>
      <w:r>
        <w:t xml:space="preserve">программного обеспечения </w:t>
      </w:r>
      <w:r>
        <w:t>Скайори</w:t>
      </w:r>
      <w:r>
        <w:t xml:space="preserve"> ГИС</w:t>
      </w:r>
      <w:r>
        <w:t>;</w:t>
      </w:r>
    </w:p>
    <w:p w14:paraId="000000B3">
      <w:pPr>
        <w:pStyle w:val="ПриложениеМаркированныйсписок"/>
        <w:rPr/>
      </w:pPr>
      <w:r>
        <w:t>д</w:t>
      </w:r>
      <w:r>
        <w:t>ефектов</w:t>
      </w:r>
      <w:r>
        <w:t xml:space="preserve"> </w:t>
      </w:r>
      <w:r>
        <w:t>при монтажных или пусконаладочных работах технического обеспечения</w:t>
      </w:r>
      <w:r>
        <w:t>,</w:t>
      </w:r>
      <w:r>
        <w:t xml:space="preserve"> предназначенного для установки </w:t>
      </w:r>
      <w:r>
        <w:t>Скайори</w:t>
      </w:r>
      <w:r>
        <w:t xml:space="preserve"> ГИС;</w:t>
      </w:r>
    </w:p>
    <w:p w14:paraId="000000B4">
      <w:pPr>
        <w:pStyle w:val="ПриложениеМаркированныйсписок"/>
        <w:rPr/>
      </w:pPr>
      <w:r>
        <w:t>д</w:t>
      </w:r>
      <w:r>
        <w:t>ефектов</w:t>
      </w:r>
      <w:r>
        <w:t xml:space="preserve"> </w:t>
      </w:r>
      <w:r>
        <w:t xml:space="preserve">при </w:t>
      </w:r>
      <w:r>
        <w:t>инсталляции и</w:t>
      </w:r>
      <w:r>
        <w:t xml:space="preserve"> настройке программного обеспечения, необходимого для установки и функционирования </w:t>
      </w:r>
      <w:r>
        <w:t>Скайори</w:t>
      </w:r>
      <w:r>
        <w:t xml:space="preserve"> ГИС</w:t>
      </w:r>
      <w:r>
        <w:t>.</w:t>
      </w:r>
    </w:p>
    <w:p w14:paraId="000000B5">
      <w:pPr>
        <w:pStyle w:val="ПриложениеТекст"/>
        <w:rPr/>
      </w:pPr>
      <w:r>
        <w:t xml:space="preserve">Исполнитель подтверждает поступление извещения </w:t>
      </w:r>
      <w:r>
        <w:t xml:space="preserve">способом, согласованным с Заказчиком, в течение </w:t>
      </w:r>
      <w:r>
        <w:t>2</w:t>
      </w:r>
      <w:r>
        <w:t xml:space="preserve"> (</w:t>
      </w:r>
      <w:r>
        <w:t>двух</w:t>
      </w:r>
      <w:r>
        <w:t>) час</w:t>
      </w:r>
      <w:r>
        <w:t>ов</w:t>
      </w:r>
      <w:r>
        <w:t xml:space="preserve"> со времени получения извещения.</w:t>
      </w:r>
    </w:p>
    <w:p w14:paraId="000000B6">
      <w:pPr>
        <w:pStyle w:val="ПриложениеТекст"/>
        <w:rPr/>
      </w:pPr>
      <w:r>
        <w:t xml:space="preserve">Рабочее время СТП: </w:t>
      </w:r>
      <w:r>
        <w:t xml:space="preserve">с </w:t>
      </w:r>
      <w:r>
        <w:t>09:00 до 18:</w:t>
      </w:r>
      <w:r>
        <w:t>00 местного времени И</w:t>
      </w:r>
      <w:r>
        <w:t>сполнителя без перерыва на обед.</w:t>
      </w:r>
    </w:p>
    <w:p w14:paraId="000000B7">
      <w:pPr>
        <w:pStyle w:val="ПриложениеТекст"/>
        <w:rPr/>
      </w:pPr>
      <w:r>
        <w:t>В</w:t>
      </w:r>
      <w:r>
        <w:t>ыходные дни: суббота, воскресень</w:t>
      </w:r>
      <w:r>
        <w:t>е, официальные праздничные дни.</w:t>
      </w:r>
    </w:p>
    <w:p w14:paraId="000000B8">
      <w:pPr>
        <w:pStyle w:val="ПриложениеТекст"/>
        <w:rPr/>
      </w:pPr>
      <w:r>
        <w:t>Консультирование осуществляется в рабочее время по электронной почте. В рабочее время Исполнитель обеспечивает не менее 1 (одного) оператора СТП, обрабатывающего обращения по электронной почте.</w:t>
      </w:r>
    </w:p>
    <w:sectPr>
      <w:footerReference w:type="first" r:id="rId41"/>
      <w:pgSz w:w="11906" w:h="16838"/>
      <w:pgMar w:top="1134" w:right="567" w:bottom="113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00000000" w:usb2="0000003f" w:usb3="00000000" w:csb0="003f01f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Segoe UI">
    <w:panose1 w:val="020b0502040204020203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B9">
    <w:pPr>
      <w:pStyle w:val="Footer"/>
      <w:rPr/>
    </w:pPr>
    <w:r>
      <w:fldChar w:fldCharType="begin"/>
    </w:r>
    <w:r>
      <w:instrText xml:space="preserve">PAGE   \* MERGEFORMAT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BA">
    <w:pPr>
      <w:pStyle w:val="Footer"/>
      <w:jc w:val="left"/>
      <w:rPr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BB">
    <w:pPr>
      <w:pStyle w:val="Footer"/>
      <w:rPr/>
    </w:pPr>
    <w:r>
      <w:fldChar w:fldCharType="begin"/>
    </w:r>
    <w:r>
      <w:instrText xml:space="preserve"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singleLevel"/>
    <w:lvl w:ilvl="0" w:tentative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multiLevelType w:val="singleLevel"/>
    <w:lvl w:ilvl="0" w:tentative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multiLevelType w:val="singleLevel"/>
    <w:lvl w:ilvl="0" w:tentative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multiLevelType w:val="singleLevel"/>
    <w:lvl w:ilvl="0" w:tentative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multiLevelType w:val="singleLevel"/>
    <w:lvl w:ilvl="0" w:tentative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multiLevelType w:val="singleLevel"/>
    <w:lvl w:ilvl="0" w:tentative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multiLevelType w:val="singleLevel"/>
    <w:lvl w:ilvl="0" w:tentative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multiLevelType w:val="singleLevel"/>
    <w:lvl w:ilvl="0" w:tentative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multiLevelType w:val="singleLevel"/>
    <w:lvl w:ilvl="0" w:tentative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multiLevelType w:val="singleLevel"/>
    <w:lvl w:ilvl="0" w:tentative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multiLevelType w:val="hybridMultilevel"/>
    <w:lvl w:ilvl="0" w:tentative="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off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multiLevelType w:val="multilevel"/>
    <w:lvl w:ilvl="0" w:tentative="0">
      <w:start w:val="1"/>
      <w:numFmt w:val="decimal"/>
      <w:pStyle w:val="Heading1"/>
      <w:suff w:val="space"/>
      <w:lvlText w:val="%1"/>
      <w:lvlJc w:val="left"/>
      <w:pPr>
        <w:ind w:left="1" w:hanging="1"/>
      </w:pPr>
      <w:rPr>
        <w:rFonts w:ascii="Times New Roman" w:cs="Times New Roman" w:eastAsia="Times New Roman" w:hAnsi="Times New Roman" w:hint="default"/>
        <w:b/>
      </w:rPr>
    </w:lvl>
    <w:lvl w:ilvl="1" w:tentative="0">
      <w:start w:val="1"/>
      <w:numFmt w:val="decimal"/>
      <w:pStyle w:val="Heading2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  <w:b/>
      </w:rPr>
    </w:lvl>
    <w:lvl w:ilvl="2" w:tentative="0">
      <w:start w:val="1"/>
      <w:numFmt w:val="decimal"/>
      <w:pStyle w:val="Heading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</w:rPr>
    </w:lvl>
    <w:lvl w:ilvl="3" w:tentative="0">
      <w:start w:val="1"/>
      <w:numFmt w:val="decimal"/>
      <w:lvlText w:val="%1.%2.%3.%4 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4" w:tentative="0">
      <w:start w:val="1"/>
      <w:numFmt w:val="decimal"/>
      <w:lvlText w:val="%1.%2.%3.%4.%5 "/>
      <w:lvlJc w:val="left"/>
      <w:pPr>
        <w:tabs>
          <w:tab w:val="num" w:pos="589"/>
        </w:tabs>
        <w:ind w:left="1" w:firstLine="850"/>
      </w:pPr>
      <w:rPr>
        <w:rFonts w:ascii="Times New Roman" w:hAnsi="Times New Roman" w:hint="default"/>
      </w:rPr>
    </w:lvl>
    <w:lvl w:ilvl="5" w:tentative="0">
      <w:start w:val="1"/>
      <w:numFmt w:val="decimal"/>
      <w:lvlText w:val="%1.%2.%3.%4.%5.%6 "/>
      <w:lvlJc w:val="left"/>
      <w:pPr>
        <w:tabs>
          <w:tab w:val="num" w:pos="949"/>
        </w:tabs>
        <w:ind w:left="1" w:hanging="1"/>
      </w:pPr>
      <w:rPr>
        <w:rFonts w:ascii="Times New Roman" w:hAnsi="Times New Roman"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num" w:pos="2160"/>
        </w:tabs>
        <w:ind w:left="852" w:hanging="852"/>
      </w:pPr>
      <w:rPr>
        <w:rFonts w:ascii="Arial Narrow" w:hAnsi="Arial Narrow"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num" w:pos="1309"/>
        </w:tabs>
        <w:ind w:left="1" w:hanging="852"/>
      </w:pPr>
      <w:rPr>
        <w:rFonts w:ascii="Arial Narrow" w:hAnsi="Arial Narrow"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num" w:pos="1669"/>
        </w:tabs>
        <w:ind w:left="1" w:hanging="852"/>
      </w:pPr>
      <w:rPr>
        <w:rFonts w:ascii="Arial Narrow" w:hAnsi="Arial Narrow" w:hint="default"/>
      </w:rPr>
    </w:lvl>
  </w:abstractNum>
  <w:abstractNum w:abstractNumId="17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multiLevelType w:val="hybrid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multiLevelType w:val="multilevel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20" w:hanging="360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multiLevelType w:val="multilevel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multiLevelType w:val="multilevel"/>
    <w:lvl w:ilvl="0" w:tentative="0">
      <w:start w:val="1"/>
      <w:numFmt w:val="bullet"/>
      <w:pStyle w:val="ListBullet"/>
      <w:lvlText w:val="‒"/>
      <w:lvlJc w:val="left"/>
      <w:pPr>
        <w:ind w:left="1276" w:hanging="425"/>
      </w:pPr>
      <w:rPr>
        <w:rFonts w:ascii="Times New Roman" w:cs="Times New Roman" w:hAnsi="Times New Roman" w:hint="default"/>
        <w:color w:val="000000"/>
      </w:rPr>
    </w:lvl>
    <w:lvl w:ilvl="1" w:tentative="0">
      <w:start w:val="1"/>
      <w:numFmt w:val="bullet"/>
      <w:pStyle w:val="ListBullet2"/>
      <w:lvlText w:val="‒"/>
      <w:lvlJc w:val="left"/>
      <w:pPr>
        <w:ind w:left="1701" w:hanging="425"/>
      </w:pPr>
      <w:rPr>
        <w:rFonts w:ascii="Times New Roman" w:cs="Times New Roman" w:hAnsi="Times New Roman" w:hint="default"/>
        <w:color w:val="000000"/>
      </w:rPr>
    </w:lvl>
    <w:lvl w:ilvl="2" w:tentative="0">
      <w:start w:val="1"/>
      <w:numFmt w:val="bullet"/>
      <w:lvlText w:val="‒"/>
      <w:lvlJc w:val="left"/>
      <w:pPr>
        <w:ind w:left="2126" w:hanging="425"/>
      </w:pPr>
      <w:rPr>
        <w:rFonts w:ascii="Times New Roman" w:cs="Times New Roman" w:hAnsi="Times New Roman" w:hint="default"/>
        <w:color w:val="000000"/>
      </w:rPr>
    </w:lvl>
    <w:lvl w:ilvl="3" w:tentative="0">
      <w:start w:val="1"/>
      <w:numFmt w:val="bullet"/>
      <w:lvlText w:val="‒"/>
      <w:lvlJc w:val="left"/>
      <w:pPr>
        <w:ind w:left="2551" w:hanging="425"/>
      </w:pPr>
      <w:rPr>
        <w:rFonts w:ascii="Times New Roman" w:cs="Times New Roman" w:hAnsi="Times New Roman" w:hint="default"/>
        <w:color w:val="000000"/>
      </w:rPr>
    </w:lvl>
    <w:lvl w:ilvl="4" w:tentative="0">
      <w:start w:val="1"/>
      <w:numFmt w:val="bullet"/>
      <w:lvlText w:val="‒"/>
      <w:lvlJc w:val="left"/>
      <w:pPr>
        <w:ind w:left="2976" w:hanging="425"/>
      </w:pPr>
      <w:rPr>
        <w:rFonts w:ascii="Times New Roman" w:cs="Times New Roman" w:hAnsi="Times New Roman" w:hint="default"/>
        <w:color w:val="000000"/>
      </w:rPr>
    </w:lvl>
    <w:lvl w:ilvl="5" w:tentative="0">
      <w:start w:val="1"/>
      <w:numFmt w:val="bullet"/>
      <w:lvlText w:val=""/>
      <w:lvlJc w:val="left"/>
      <w:pPr>
        <w:ind w:left="3401" w:hanging="425"/>
      </w:pPr>
      <w:rPr>
        <w:rFonts w:ascii="Wingdings" w:hAnsi="Wingdings" w:hint="default"/>
      </w:rPr>
    </w:lvl>
    <w:lvl w:ilvl="6" w:tentative="0">
      <w:start w:val="1"/>
      <w:numFmt w:val="bullet"/>
      <w:lvlText w:val=""/>
      <w:lvlJc w:val="left"/>
      <w:pPr>
        <w:ind w:left="3826" w:hanging="425"/>
      </w:pPr>
      <w:rPr>
        <w:rFonts w:ascii="Symbol" w:hAnsi="Symbol" w:hint="default"/>
      </w:rPr>
    </w:lvl>
    <w:lvl w:ilvl="7" w:tentative="0">
      <w:start w:val="1"/>
      <w:numFmt w:val="bullet"/>
      <w:lvlText w:val="o"/>
      <w:lvlJc w:val="left"/>
      <w:pPr>
        <w:ind w:left="4251" w:hanging="425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ind w:left="4676" w:hanging="425"/>
      </w:pPr>
      <w:rPr>
        <w:rFonts w:ascii="Wingdings" w:hAnsi="Wingdings" w:hint="default"/>
      </w:rPr>
    </w:lvl>
  </w:abstractNum>
  <w:abstractNum w:abstractNumId="28">
    <w:multiLevelType w:val="multilevel"/>
    <w:lvl w:ilvl="0" w:tentative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multiLevelType w:val="multilevel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numFmt w:val="bullet"/>
      <w:lvlText w:val=""/>
      <w:lvlJc w:val="left"/>
      <w:pPr>
        <w:ind w:left="1440" w:hanging="360"/>
      </w:pPr>
      <w:rPr>
        <w:rFonts w:ascii="Symbol" w:cstheme="minorBidi" w:eastAsiaTheme="minorHAnsi" w:hAnsi="Symbol" w:hint="default"/>
        <w:color w:val="auto"/>
        <w:sz w:val="22"/>
      </w:r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26"/>
  </w:num>
  <w:num w:numId="4">
    <w:abstractNumId w:val="13"/>
  </w:num>
  <w:num w:numId="5">
    <w:abstractNumId w:val="10"/>
  </w:num>
  <w:num w:numId="6">
    <w:abstractNumId w:val="28"/>
  </w:num>
  <w:num w:numId="7">
    <w:abstractNumId w:val="25"/>
  </w:num>
  <w:num w:numId="8">
    <w:abstractNumId w:val="15"/>
  </w:num>
  <w:num w:numId="9">
    <w:abstractNumId w:val="20"/>
  </w:num>
  <w:num w:numId="10">
    <w:abstractNumId w:val="22"/>
  </w:num>
  <w:num w:numId="11">
    <w:abstractNumId w:val="23"/>
  </w:num>
  <w:num w:numId="12">
    <w:abstractNumId w:val="17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9"/>
  </w:num>
  <w:num w:numId="20">
    <w:abstractNumId w:val="27"/>
  </w:num>
  <w:num w:numId="21">
    <w:abstractNumId w:val="7"/>
  </w:num>
  <w:num w:numId="22">
    <w:abstractNumId w:val="2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9"/>
  </w:num>
  <w:num w:numId="32">
    <w:abstractNumId w:val="12"/>
  </w:num>
  <w:num w:numId="33">
    <w:abstractNumId w:val="21"/>
  </w:num>
  <w:num w:numId="34">
    <w:abstractNumId w:val="14"/>
  </w:num>
  <w:num w:numId="35">
    <w:abstractNumId w:val="18"/>
  </w:num>
  <w:num w:numId="36">
    <w:abstractNumId w:val="11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23"/>
    <w:rsid w:val="0000236A"/>
    <w:rsid w:val="00014253"/>
    <w:rsid w:val="00037555"/>
    <w:rsid w:val="00043D07"/>
    <w:rsid w:val="000D1C66"/>
    <w:rsid w:val="000E3971"/>
    <w:rsid w:val="00102094"/>
    <w:rsid w:val="0010234B"/>
    <w:rsid w:val="0013092C"/>
    <w:rsid w:val="001811FA"/>
    <w:rsid w:val="001944DC"/>
    <w:rsid w:val="001A6EA3"/>
    <w:rsid w:val="0021504C"/>
    <w:rsid w:val="00215CB1"/>
    <w:rsid w:val="00271F10"/>
    <w:rsid w:val="002C7B78"/>
    <w:rsid w:val="002F6297"/>
    <w:rsid w:val="00336DD2"/>
    <w:rsid w:val="00350AF1"/>
    <w:rsid w:val="00370584"/>
    <w:rsid w:val="003952EB"/>
    <w:rsid w:val="003B7E5E"/>
    <w:rsid w:val="00436ABC"/>
    <w:rsid w:val="00440A97"/>
    <w:rsid w:val="004476BC"/>
    <w:rsid w:val="0049581D"/>
    <w:rsid w:val="004E449D"/>
    <w:rsid w:val="004E666A"/>
    <w:rsid w:val="004F1D83"/>
    <w:rsid w:val="00533CC6"/>
    <w:rsid w:val="00547BD5"/>
    <w:rsid w:val="00557631"/>
    <w:rsid w:val="005657AA"/>
    <w:rsid w:val="005A33F0"/>
    <w:rsid w:val="005D0CAD"/>
    <w:rsid w:val="005D32EC"/>
    <w:rsid w:val="005D7B5F"/>
    <w:rsid w:val="00602845"/>
    <w:rsid w:val="00607CB6"/>
    <w:rsid w:val="00613EB2"/>
    <w:rsid w:val="00615A5B"/>
    <w:rsid w:val="00624C65"/>
    <w:rsid w:val="006474DA"/>
    <w:rsid w:val="00652E82"/>
    <w:rsid w:val="00673148"/>
    <w:rsid w:val="00680505"/>
    <w:rsid w:val="006827E5"/>
    <w:rsid w:val="006D73B6"/>
    <w:rsid w:val="006E6461"/>
    <w:rsid w:val="00702CF9"/>
    <w:rsid w:val="00753C3D"/>
    <w:rsid w:val="00757BD9"/>
    <w:rsid w:val="00791FD0"/>
    <w:rsid w:val="007940D8"/>
    <w:rsid w:val="007E6D24"/>
    <w:rsid w:val="008119D8"/>
    <w:rsid w:val="00853FBA"/>
    <w:rsid w:val="008B6D97"/>
    <w:rsid w:val="008F1FE6"/>
    <w:rsid w:val="009128BE"/>
    <w:rsid w:val="00956098"/>
    <w:rsid w:val="0095658F"/>
    <w:rsid w:val="009C115E"/>
    <w:rsid w:val="009C7367"/>
    <w:rsid w:val="009F0D09"/>
    <w:rsid w:val="00A20127"/>
    <w:rsid w:val="00A33069"/>
    <w:rsid w:val="00A3559F"/>
    <w:rsid w:val="00A75C17"/>
    <w:rsid w:val="00AC630B"/>
    <w:rsid w:val="00B2385E"/>
    <w:rsid w:val="00B36D70"/>
    <w:rsid w:val="00BA1D1C"/>
    <w:rsid w:val="00BB42E9"/>
    <w:rsid w:val="00BD77C9"/>
    <w:rsid w:val="00C053BA"/>
    <w:rsid w:val="00C06E7B"/>
    <w:rsid w:val="00C91339"/>
    <w:rsid w:val="00C97D05"/>
    <w:rsid w:val="00CD3BBC"/>
    <w:rsid w:val="00CE7E80"/>
    <w:rsid w:val="00CF1F73"/>
    <w:rsid w:val="00D04C23"/>
    <w:rsid w:val="00D331B8"/>
    <w:rsid w:val="00D63C6B"/>
    <w:rsid w:val="00D71DB2"/>
    <w:rsid w:val="00E00A44"/>
    <w:rsid w:val="00E25A2B"/>
    <w:rsid w:val="00E27D92"/>
    <w:rsid w:val="00E54F1C"/>
    <w:rsid w:val="00E72BB1"/>
    <w:rsid w:val="00E82C4A"/>
    <w:rsid w:val="00EA1FF0"/>
    <w:rsid w:val="00EC3394"/>
    <w:rsid w:val="00F16F5C"/>
    <w:rsid w:val="00F17CE7"/>
    <w:rsid w:val="00F327FB"/>
    <w:rsid w:val="00F341A7"/>
    <w:rsid w:val="00F77CA2"/>
    <w:rsid w:val="00FC69A8"/>
    <w:rsid w:val="00FE008B"/>
    <w:rsid w:val="00FE5186"/>
    <w:rsid w:val="00FF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41BF3"/>
  <w15:docId w15:val="{BF029801-8EC4-41E5-A4ED-B120380C0FA0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Заголовок1Знак"/>
    <w:uiPriority w:val="99"/>
    <w:qFormat w:val="on"/>
    <w:pPr>
      <w:numPr>
        <w:ilvl w:val="0"/>
        <w:numId w:val="18"/>
      </w:num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pacing w:before="120" w:after="120" w:line="276" w:lineRule="auto"/>
      <w:ind w:left="709" w:firstLine="0"/>
      <w:jc w:val="both"/>
    </w:pPr>
    <w:rPr>
      <w:rFonts w:ascii="Times New Roman" w:cs="Times New Roman" w:eastAsia="Times New Roman" w:hAnsi="Times New Roman"/>
      <w:b/>
      <w:sz w:val="32"/>
      <w:szCs w:val="44"/>
      <w:lang w:eastAsia="ru-RU"/>
    </w:rPr>
  </w:style>
  <w:style w:type="paragraph" w:styleId="Heading2">
    <w:name w:val="Heading 2"/>
    <w:next w:val="Normal"/>
    <w:link w:val="Заголовок2Знак"/>
    <w:uiPriority w:val="99"/>
    <w:qFormat w:val="on"/>
    <w:pPr>
      <w:keepNext w:val="on"/>
      <w:keepLines w:val="on"/>
      <w:numPr>
        <w:ilvl w:val="1"/>
        <w:numId w:val="18"/>
      </w:num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tabs>
        <w:tab w:val="left" w:pos="1276"/>
      </w:tabs>
      <w:spacing w:before="120" w:after="120" w:line="276" w:lineRule="auto"/>
      <w:ind w:left="709"/>
      <w:jc w:val="both"/>
    </w:pPr>
    <w:rPr>
      <w:rFonts w:ascii="Times New Roman" w:cs="Times New Roman" w:eastAsia="Arial Unicode MS" w:hAnsi="Times New Roman"/>
      <w:b/>
      <w:sz w:val="30"/>
      <w:szCs w:val="30"/>
      <w:lang w:eastAsia="ru-RU"/>
    </w:rPr>
  </w:style>
  <w:style w:type="paragraph" w:styleId="Heading3">
    <w:name w:val="Heading 3"/>
    <w:basedOn w:val="Normal"/>
    <w:next w:val="Normal"/>
    <w:link w:val="Заголовок3Знак"/>
    <w:uiPriority w:val="99"/>
    <w:qFormat w:val="on"/>
    <w:pPr>
      <w:keepNext w:val="on"/>
      <w:keepLines w:val="on"/>
      <w:numPr>
        <w:ilvl w:val="2"/>
        <w:numId w:val="18"/>
      </w:num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pacing w:before="120" w:after="120" w:line="276" w:lineRule="auto"/>
      <w:ind w:left="709"/>
    </w:pPr>
    <w:rPr>
      <w:rFonts w:ascii="Times New Roman" w:cs="Times New Roman" w:eastAsia="Times New Roman" w:hAnsi="Times New Roman"/>
      <w:b/>
      <w:sz w:val="28"/>
      <w:szCs w:val="38"/>
      <w:lang w:eastAsia="ru-RU"/>
    </w:rPr>
  </w:style>
  <w:style w:type="paragraph" w:styleId="Heading4">
    <w:name w:val="Heading 4"/>
    <w:basedOn w:val="Normal"/>
    <w:next w:val="Normal"/>
    <w:link w:val="Заголовок4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Заголовок5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Заголовок6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</w:rPr>
  </w:style>
  <w:style w:type="paragraph" w:styleId="Heading7">
    <w:name w:val="Heading 7"/>
    <w:basedOn w:val="Normal"/>
    <w:next w:val="Normal"/>
    <w:link w:val="Заголовок7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b/>
      <w:bCs/>
      <w:i/>
      <w:iCs/>
    </w:rPr>
  </w:style>
  <w:style w:type="paragraph" w:styleId="Heading8">
    <w:name w:val="Heading 8"/>
    <w:basedOn w:val="Normal"/>
    <w:next w:val="Normal"/>
    <w:link w:val="Заголовок8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i/>
      <w:iCs/>
    </w:rPr>
  </w:style>
  <w:style w:type="paragraph" w:styleId="Heading9">
    <w:name w:val="Heading 9"/>
    <w:basedOn w:val="Normal"/>
    <w:next w:val="Normal"/>
    <w:link w:val="Заголовок9Знак"/>
    <w:uiPriority w:val="9"/>
    <w:unhideWhenUsed w:val="on"/>
    <w:qFormat w:val="on"/>
    <w:pPr>
      <w:keepNext w:val="on"/>
      <w:keepLines w:val="on"/>
      <w:spacing w:before="320" w:after="200"/>
    </w:pPr>
    <w:rPr>
      <w:rFonts w:ascii="Arial" w:cs="Arial" w:eastAsia="Arial" w:hAnsi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customStyle="1" w:styleId="ПриложениеЗаголовок">
    <w:name w:val="Приложение Заголовок"/>
    <w:basedOn w:val="ListParagraph"/>
    <w:uiPriority w:val="99"/>
    <w:qFormat w:val="on"/>
    <w:pPr>
      <w:spacing w:before="360" w:after="120" w:line="276" w:lineRule="auto"/>
      <w:ind w:left="0"/>
      <w:contextualSpacing w:val="off"/>
      <w:jc w:val="center"/>
    </w:pPr>
    <w:rPr>
      <w:rFonts w:ascii="Times New Roman" w:cs="Times New Roman" w:eastAsia="Times New Roman" w:hAnsi="Times New Roman"/>
      <w:b/>
      <w:bCs/>
      <w:sz w:val="28"/>
      <w:szCs w:val="28"/>
      <w:lang w:eastAsia="ru-RU"/>
    </w:rPr>
  </w:style>
  <w:style w:type="paragraph" w:customStyle="1" w:styleId="Приложение">
    <w:name w:val="Приложение"/>
    <w:basedOn w:val="Текстдокумента"/>
    <w:uiPriority w:val="99"/>
    <w:qFormat w:val="on"/>
    <w:pPr>
      <w:pageBreakBefore w:val="on"/>
      <w:jc w:val="right"/>
    </w:pPr>
    <w:rPr>
      <w:b/>
    </w:rPr>
  </w:style>
  <w:style w:type="paragraph" w:customStyle="1" w:styleId="Титул">
    <w:name w:val="Титул"/>
    <w:basedOn w:val="Normal"/>
    <w:uiPriority w:val="99"/>
    <w:qFormat w:val="on"/>
    <w:pPr>
      <w:spacing w:after="0" w:line="240" w:lineRule="auto"/>
      <w:jc w:val="center"/>
    </w:pPr>
    <w:rPr>
      <w:rFonts w:ascii="Times New Roman" w:cs="Times New Roman" w:eastAsia="Times New Roman" w:hAnsi="Times New Roman"/>
      <w:sz w:val="36"/>
      <w:szCs w:val="36"/>
      <w:lang w:eastAsia="ru-RU"/>
    </w:rPr>
  </w:style>
  <w:style w:type="character" w:customStyle="1" w:styleId="Заголовок4Знак">
    <w:name w:val="Заголовок 4 Знак"/>
    <w:basedOn w:val="DefaultParagraphFont"/>
    <w:link w:val="Heading4"/>
    <w:uiPriority w:val="9"/>
    <w:rPr>
      <w:rFonts w:ascii="Arial" w:cs="Arial" w:eastAsia="Arial" w:hAnsi="Arial"/>
      <w:b/>
      <w:bCs/>
      <w:sz w:val="26"/>
      <w:szCs w:val="26"/>
    </w:rPr>
  </w:style>
  <w:style w:type="character" w:customStyle="1" w:styleId="Заголовок5Знак">
    <w:name w:val="Заголовок 5 Знак"/>
    <w:basedOn w:val="DefaultParagraphFont"/>
    <w:link w:val="Heading5"/>
    <w:uiPriority w:val="9"/>
    <w:rPr>
      <w:rFonts w:ascii="Arial" w:cs="Arial" w:eastAsia="Arial" w:hAnsi="Arial"/>
      <w:b/>
      <w:bCs/>
      <w:sz w:val="24"/>
      <w:szCs w:val="24"/>
    </w:rPr>
  </w:style>
  <w:style w:type="character" w:customStyle="1" w:styleId="Заголовок6Знак">
    <w:name w:val="Заголовок 6 Знак"/>
    <w:basedOn w:val="DefaultParagraphFont"/>
    <w:link w:val="Heading6"/>
    <w:uiPriority w:val="9"/>
    <w:rPr>
      <w:rFonts w:ascii="Arial" w:cs="Arial" w:eastAsia="Arial" w:hAnsi="Arial"/>
      <w:b/>
      <w:bCs/>
      <w:sz w:val="22"/>
      <w:szCs w:val="22"/>
    </w:rPr>
  </w:style>
  <w:style w:type="character" w:customStyle="1" w:styleId="Заголовок7Знак">
    <w:name w:val="Заголовок 7 Знак"/>
    <w:basedOn w:val="DefaultParagraphFont"/>
    <w:link w:val="Heading7"/>
    <w:uiPriority w:val="9"/>
    <w:rPr>
      <w:rFonts w:ascii="Arial" w:cs="Arial" w:eastAsia="Arial" w:hAnsi="Arial"/>
      <w:b/>
      <w:bCs/>
      <w:i/>
      <w:iCs/>
      <w:sz w:val="22"/>
      <w:szCs w:val="22"/>
    </w:rPr>
  </w:style>
  <w:style w:type="character" w:customStyle="1" w:styleId="Заголовок8Знак">
    <w:name w:val="Заголовок 8 Знак"/>
    <w:basedOn w:val="DefaultParagraphFont"/>
    <w:link w:val="Heading8"/>
    <w:uiPriority w:val="9"/>
    <w:rPr>
      <w:rFonts w:ascii="Arial" w:cs="Arial" w:eastAsia="Arial" w:hAnsi="Arial"/>
      <w:i/>
      <w:iCs/>
      <w:sz w:val="22"/>
      <w:szCs w:val="22"/>
    </w:rPr>
  </w:style>
  <w:style w:type="character" w:customStyle="1" w:styleId="Заголовок9Знак">
    <w:name w:val="Заголовок 9 Знак"/>
    <w:basedOn w:val="DefaultParagraphFont"/>
    <w:link w:val="Heading9"/>
    <w:uiPriority w:val="9"/>
    <w:rPr>
      <w:rFonts w:ascii="Arial" w:cs="Arial" w:eastAsia="Arial" w:hAnsi="Arial"/>
      <w:i/>
      <w:iCs/>
      <w:sz w:val="21"/>
      <w:szCs w:val="21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Title">
    <w:name w:val="Title"/>
    <w:basedOn w:val="Normal"/>
    <w:next w:val="Normal"/>
    <w:link w:val="ЗаголовокЗнак"/>
    <w:uiPriority w:val="10"/>
    <w:qFormat w:val="on"/>
    <w:pPr>
      <w:spacing w:before="300" w:after="200"/>
      <w:contextualSpacing w:val="on"/>
    </w:pPr>
    <w:rPr>
      <w:sz w:val="48"/>
      <w:szCs w:val="48"/>
    </w:rPr>
  </w:style>
  <w:style w:type="character" w:customStyle="1" w:styleId="ЗаголовокЗнак">
    <w:name w:val="Заголовок Знак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ПодзаголовокЗнак"/>
    <w:uiPriority w:val="11"/>
    <w:qFormat w:val="on"/>
    <w:pPr>
      <w:spacing w:before="200" w:after="200"/>
    </w:pPr>
    <w:rPr>
      <w:sz w:val="24"/>
      <w:szCs w:val="24"/>
    </w:rPr>
  </w:style>
  <w:style w:type="character" w:customStyle="1" w:styleId="ПодзаголовокЗнак">
    <w:name w:val="Подзаголовок Знак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Цитата2Знак"/>
    <w:uiPriority w:val="29"/>
    <w:qFormat w:val="on"/>
    <w:pPr>
      <w:ind w:left="720" w:right="720"/>
    </w:pPr>
    <w:rPr>
      <w:i/>
    </w:rPr>
  </w:style>
  <w:style w:type="character" w:customStyle="1" w:styleId="Цитата2Знак">
    <w:name w:val="Цитата 2 Знак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ВыделеннаяцитатаЗнак"/>
    <w:uiPriority w:val="30"/>
    <w:qFormat w:val="on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i/>
    </w:rPr>
  </w:style>
  <w:style w:type="paragraph" w:styleId="MessageHeader">
    <w:name w:val="Message Header"/>
    <w:basedOn w:val="Normal"/>
    <w:link w:val="ШапкаЗнак"/>
    <w:uiPriority w:val="99"/>
    <w:unhideWhenUsed w:val="on"/>
    <w:pPr>
      <w:pBdr>
        <w:bottom w:val="single" w:color="auto" w:sz="12" w:space="1"/>
      </w:pBdr>
      <w:tabs>
        <w:tab w:val="left" w:pos="4678"/>
      </w:tabs>
      <w:spacing w:after="0" w:line="240" w:lineRule="auto"/>
      <w:ind w:right="-1"/>
      <w:jc w:val="right"/>
    </w:pPr>
    <w:rPr>
      <w:b/>
      <w:color w:val="000000"/>
    </w:rPr>
  </w:style>
  <w:style w:type="character" w:customStyle="1" w:styleId="ШапкаЗнак">
    <w:name w:val="Шапка Знак"/>
    <w:basedOn w:val="DefaultParagraphFont"/>
    <w:link w:val="MessageHeader"/>
    <w:uiPriority w:val="99"/>
    <w:rPr>
      <w:b/>
      <w:color w:val="000000"/>
    </w:rPr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PlainTable1">
    <w:name w:val="Plain Table 1"/>
    <w:basedOn w:val="NormalTable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NormalTable"/>
    <w:uiPriority w:val="59"/>
    <w:pPr>
      <w:spacing w:after="0" w:line="240" w:lineRule="auto"/>
    </w:pPr>
    <w:tblPr>
      <w:tblBorders>
        <w:top w:val="single" w:color="000000" w:themeColor="text1" w:sz="4" w:space="0"/>
        <w:left w:val="none" w:sz="4" w:space="0"/>
        <w:bottom w:val="single" w:color="000000" w:themeColor="text1" w:sz="4" w:space="0"/>
        <w:right w:val="none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PlainTable3">
    <w:name w:val="Plain Table 3"/>
    <w:basedOn w:val="NormalTab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/>
          <w:left w:val="none" w:sz="4" w:space="0"/>
          <w:bottom w:val="single" w:color="404040" w:sz="4" w:space="0"/>
          <w:right w:val="none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NormalTab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NormalTab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/>
          <w:bottom w:val="single" w:color="404040" w:sz="4" w:space="0"/>
          <w:right w:val="none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2">
    <w:name w:val="Grid Table 2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6a6a6a" w:themeColor="text1" w:themeTint="95" w:sz="12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">
    <w:name w:val="Grid Table 3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/>
          <w:left w:val="none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">
    <w:name w:val="Grid Table 4"/>
    <w:basedOn w:val="NormalTable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5Dark">
    <w:name w:val="Grid Table 5 Dark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GridTable6Colorful">
    <w:name w:val="Grid Table 6 Colorful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styleId="GridTable7Colorful">
    <w:name w:val="Grid Table 7 Colorful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single" w:color="7f7f7f" w:themeColor="text1" w:themeTint="8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color="7f7f7f" w:themeColor="text1" w:themeTint="8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single" w:color="7f7f7f" w:themeColor="text1" w:themeTint="8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styleId="ListTable1Light">
    <w:name w:val="List Table 1 Light"/>
    <w:basedOn w:val="NormalTab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/>
          <w:left w:val="none" w:sz="4" w:space="0"/>
          <w:bottom w:val="single" w:color="000000" w:themeColor="text1" w:sz="4" w:space="0"/>
          <w:right w:val="none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sz="4" w:space="0"/>
          <w:bottom w:val="none" w:sz="4" w:space="0"/>
          <w:right w:val="non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2">
    <w:name w:val="List Table 2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sz="4" w:space="0"/>
          <w:bottom w:val="single" w:color="6f6f6f" w:themeColor="text1" w:themeTint="90" w:sz="4" w:space="0"/>
          <w:right w:val="none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sz="4" w:space="0"/>
          <w:bottom w:val="single" w:color="6f6f6f" w:themeColor="text1" w:themeTint="90" w:sz="4" w:space="0"/>
          <w:right w:val="none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3">
    <w:name w:val="List Table 3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4">
    <w:name w:val="List Table 4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5Dark">
    <w:name w:val="List Table 5 Dark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6Colorful">
    <w:name w:val="List Table 6 Colorful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7Colorful">
    <w:name w:val="List Table 7 Colorful"/>
    <w:basedOn w:val="NormalTable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single" w:color="7f7f7f" w:themeColor="text1" w:themeTint="80" w:sz="4" w:space="0"/>
          <w:right w:val="none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color="7f7f7f" w:themeColor="text1" w:themeTint="80" w:sz="4" w:space="0"/>
          <w:left w:val="none" w:sz="4" w:space="0"/>
          <w:bottom w:val="none" w:sz="4" w:space="0"/>
          <w:right w:val="none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none" w:sz="4" w:space="0"/>
          <w:bottom w:val="none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/>
          <w:left w:val="single" w:color="7f7f7f" w:themeColor="text1" w:themeTint="80" w:sz="4" w:space="0"/>
          <w:bottom w:val="none" w:sz="4" w:space="0"/>
          <w:right w:val="none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paragraph" w:styleId="Footnotetext">
    <w:name w:val="Footnote text"/>
    <w:basedOn w:val="Normal"/>
    <w:link w:val="ТекстсноскиЗнак"/>
    <w:uiPriority w:val="99"/>
    <w:semiHidden w:val="on"/>
    <w:unhideWhenUsed w:val="on"/>
    <w:pPr>
      <w:spacing w:after="40" w:line="240" w:lineRule="auto"/>
    </w:pPr>
    <w:rPr>
      <w:sz w:val="18"/>
    </w:rPr>
  </w:style>
  <w:style w:type="character" w:customStyle="1" w:styleId="ТекстсноскиЗнак">
    <w:name w:val="Текст сноски Знак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 w:val="on"/>
    <w:rPr>
      <w:vertAlign w:val="superscript"/>
    </w:rPr>
  </w:style>
  <w:style w:type="paragraph" w:styleId="Endnotetext">
    <w:name w:val="Endnote text"/>
    <w:basedOn w:val="Normal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Toc1">
    <w:name w:val="Toc 1"/>
    <w:basedOn w:val="Normal"/>
    <w:next w:val="Normal"/>
    <w:uiPriority w:val="39"/>
    <w:unhideWhenUsed w:val="on"/>
    <w:pPr>
      <w:spacing w:after="57"/>
    </w:pPr>
  </w:style>
  <w:style w:type="paragraph" w:styleId="Toc2">
    <w:name w:val="Toc 2"/>
    <w:basedOn w:val="Normal"/>
    <w:next w:val="Normal"/>
    <w:uiPriority w:val="39"/>
    <w:unhideWhenUsed w:val="on"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 w:val="on"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 w:val="on"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 w:val="on"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 w:val="on"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 w:val="on"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 w:val="on"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 w:val="on"/>
    <w:pPr>
      <w:spacing w:after="57"/>
      <w:ind w:left="2268"/>
    </w:pPr>
  </w:style>
  <w:style w:type="paragraph" w:styleId="TOCHeading">
    <w:name w:val="TOC Heading"/>
    <w:uiPriority w:val="39"/>
    <w:unhideWhenUsed w:val="on"/>
  </w:style>
  <w:style w:type="paragraph" w:styleId="Tableoffigures">
    <w:name w:val="Table of figures"/>
    <w:basedOn w:val="Normal"/>
    <w:next w:val="Normal"/>
    <w:uiPriority w:val="99"/>
    <w:unhideWhenUsed w:val="on"/>
    <w:pPr>
      <w:spacing w:after="0"/>
    </w:pPr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Заголовок1Знак">
    <w:name w:val="Заголовок 1 Знак"/>
    <w:basedOn w:val="DefaultParagraphFont"/>
    <w:link w:val="Heading1"/>
    <w:uiPriority w:val="99"/>
    <w:rPr>
      <w:rFonts w:ascii="Times New Roman" w:cs="Times New Roman" w:eastAsia="Times New Roman" w:hAnsi="Times New Roman"/>
      <w:b/>
      <w:sz w:val="32"/>
      <w:szCs w:val="44"/>
      <w:lang w:eastAsia="ru-RU"/>
    </w:rPr>
  </w:style>
  <w:style w:type="character" w:customStyle="1" w:styleId="Заголовок2Знак">
    <w:name w:val="Заголовок 2 Знак"/>
    <w:basedOn w:val="DefaultParagraphFont"/>
    <w:link w:val="Heading2"/>
    <w:uiPriority w:val="99"/>
    <w:rPr>
      <w:rFonts w:ascii="Times New Roman" w:cs="Times New Roman" w:eastAsia="Arial Unicode MS" w:hAnsi="Times New Roman"/>
      <w:b/>
      <w:sz w:val="30"/>
      <w:szCs w:val="30"/>
      <w:lang w:eastAsia="ru-RU"/>
    </w:rPr>
  </w:style>
  <w:style w:type="character" w:customStyle="1" w:styleId="Заголовок3Знак">
    <w:name w:val="Заголовок 3 Знак"/>
    <w:basedOn w:val="DefaultParagraphFont"/>
    <w:link w:val="Heading3"/>
    <w:uiPriority w:val="99"/>
    <w:rPr>
      <w:rFonts w:ascii="Times New Roman" w:cs="Times New Roman" w:eastAsia="Times New Roman" w:hAnsi="Times New Roman"/>
      <w:b/>
      <w:sz w:val="28"/>
      <w:szCs w:val="38"/>
      <w:lang w:eastAsia="ru-RU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hAnsi="Times New Roman"/>
      <w:sz w:val="24"/>
    </w:r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rPr>
      <w:rFonts w:ascii="Times New Roman" w:hAnsi="Times New Roman"/>
      <w:sz w:val="24"/>
    </w:rPr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before="240" w:after="0" w:line="240" w:lineRule="auto"/>
      <w:jc w:val="center"/>
    </w:pPr>
    <w:rPr>
      <w:rFonts w:ascii="Times New Roman" w:hAnsi="Times New Roman"/>
      <w:sz w:val="24"/>
    </w:r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nnotationreference">
    <w:name w:val="Annotation reference"/>
    <w:basedOn w:val="DefaultParagraphFont"/>
    <w:uiPriority w:val="99"/>
    <w:semiHidden w:val="on"/>
    <w:unhideWhenUsed w:val="on"/>
    <w:rPr>
      <w:sz w:val="16"/>
      <w:szCs w:val="16"/>
    </w:rPr>
  </w:style>
  <w:style w:type="paragraph" w:styleId="Annotationtext">
    <w:name w:val="Annotation text"/>
    <w:basedOn w:val="Normal"/>
    <w:link w:val="ТекстпримечанияЗнак"/>
    <w:uiPriority w:val="99"/>
    <w:semiHidden w:val="on"/>
    <w:unhideWhenUsed w:val="on"/>
    <w:pPr>
      <w:spacing w:line="240" w:lineRule="auto"/>
    </w:pPr>
    <w:rPr>
      <w:sz w:val="20"/>
      <w:szCs w:val="20"/>
    </w:rPr>
  </w:style>
  <w:style w:type="character" w:customStyle="1" w:styleId="ТекстпримечанияЗнак">
    <w:name w:val="Текст примечания Знак"/>
    <w:basedOn w:val="DefaultParagraphFont"/>
    <w:link w:val="Annotationtext"/>
    <w:uiPriority w:val="99"/>
    <w:semiHidden w:val="on"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ТемапримечанияЗнак"/>
    <w:uiPriority w:val="99"/>
    <w:semiHidden w:val="on"/>
    <w:unhideWhenUsed w:val="on"/>
    <w:rPr>
      <w:b/>
      <w:bCs/>
    </w:rPr>
  </w:style>
  <w:style w:type="character" w:customStyle="1" w:styleId="ТемапримечанияЗнак">
    <w:name w:val="Тема примечания Знак"/>
    <w:basedOn w:val="ТекстпримечанияЗнак"/>
    <w:link w:val="Annotationsubject"/>
    <w:uiPriority w:val="99"/>
    <w:semiHidden w:val="on"/>
    <w:rPr>
      <w:b/>
      <w:bCs/>
      <w:sz w:val="20"/>
      <w:szCs w:val="20"/>
    </w:r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Segoe UI" w:cs="Segoe UI" w:hAnsi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ListBullet">
    <w:name w:val="List Bullet"/>
    <w:basedOn w:val="Normal"/>
    <w:link w:val="МаркированныйсписокЗнак"/>
    <w:uiPriority w:val="99"/>
    <w:qFormat w:val="on"/>
    <w:pPr>
      <w:numPr>
        <w:ilvl w:val="0"/>
        <w:numId w:val="22"/>
      </w:num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spacing w:after="0" w:line="276" w:lineRule="auto"/>
      <w:ind w:left="1134"/>
    </w:pPr>
    <w:rPr>
      <w:rFonts w:ascii="Times New Roman" w:cs="Times New Roman" w:eastAsia="Times New Roman" w:hAnsi="Times New Roman"/>
      <w:sz w:val="28"/>
      <w:szCs w:val="26"/>
      <w:lang w:eastAsia="ru-RU"/>
    </w:rPr>
  </w:style>
  <w:style w:type="character" w:customStyle="1" w:styleId="МаркированныйсписокЗнак">
    <w:name w:val="Маркированный список Знак"/>
    <w:link w:val="ListBullet"/>
    <w:uiPriority w:val="99"/>
    <w:rPr>
      <w:rFonts w:ascii="Times New Roman" w:cs="Times New Roman" w:eastAsia="Times New Roman" w:hAnsi="Times New Roman"/>
      <w:sz w:val="28"/>
      <w:szCs w:val="26"/>
      <w:lang w:eastAsia="ru-RU"/>
    </w:rPr>
  </w:style>
  <w:style w:type="paragraph" w:styleId="ListBullet2">
    <w:name w:val="List Bullet 2"/>
    <w:basedOn w:val="Normal"/>
    <w:uiPriority w:val="99"/>
    <w:pPr>
      <w:numPr>
        <w:ilvl w:val="1"/>
        <w:numId w:val="22"/>
      </w:numPr>
      <w:spacing w:after="0" w:line="276" w:lineRule="auto"/>
      <w:ind w:left="1559"/>
    </w:pPr>
    <w:rPr>
      <w:rFonts w:ascii="Times New Roman" w:cs="Times New Roman" w:eastAsia="Times New Roman" w:hAnsi="Times New Roman"/>
      <w:sz w:val="28"/>
      <w:szCs w:val="24"/>
      <w:lang w:eastAsia="ru-RU"/>
    </w:rPr>
  </w:style>
  <w:style w:type="paragraph" w:customStyle="1" w:styleId="Текстдокумента">
    <w:name w:val="Текст документа"/>
    <w:basedOn w:val="Normal"/>
    <w:link w:val="ТекстдокументаЗнак"/>
    <w:uiPriority w:val="99"/>
    <w:qFormat w:val="on"/>
    <w:p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spacing w:after="0" w:line="276" w:lineRule="auto"/>
      <w:ind w:firstLine="709"/>
      <w:jc w:val="both"/>
    </w:pPr>
    <w:rPr>
      <w:rFonts w:ascii="Times New Roman" w:cs="Times New Roman" w:eastAsia="Times New Roman" w:hAnsi="Times New Roman"/>
      <w:sz w:val="28"/>
      <w:szCs w:val="24"/>
      <w:lang w:eastAsia="ru-RU"/>
    </w:rPr>
  </w:style>
  <w:style w:type="character" w:customStyle="1" w:styleId="ТекстдокументаЗнак">
    <w:name w:val="Текст документа Знак"/>
    <w:link w:val="Текстдокумента"/>
    <w:uiPriority w:val="99"/>
    <w:qFormat w:val="on"/>
    <w:rPr>
      <w:rFonts w:ascii="Times New Roman" w:cs="Times New Roman" w:eastAsia="Times New Roman" w:hAnsi="Times New Roman"/>
      <w:sz w:val="28"/>
      <w:szCs w:val="24"/>
      <w:lang w:eastAsia="ru-RU"/>
    </w:rPr>
  </w:style>
  <w:style w:type="paragraph" w:customStyle="1" w:styleId="ТаблицаТекст">
    <w:name w:val="Таблица Текст"/>
    <w:basedOn w:val="Normal"/>
    <w:link w:val="ТаблицаТекстЗнак"/>
    <w:uiPriority w:val="99"/>
    <w:qFormat w:val="on"/>
    <w:p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spacing w:after="0" w:line="240" w:lineRule="auto"/>
    </w:pPr>
    <w:rPr>
      <w:rFonts w:ascii="Times New Roman" w:cs="Times New Roman" w:eastAsia="Times New Roman" w:hAnsi="Times New Roman"/>
      <w:sz w:val="24"/>
      <w:lang w:eastAsia="ru-RU"/>
    </w:rPr>
  </w:style>
  <w:style w:type="character" w:customStyle="1" w:styleId="ТаблицаТекстЗнак">
    <w:name w:val="Таблица Текст Знак"/>
    <w:link w:val="ТаблицаТекст"/>
    <w:uiPriority w:val="99"/>
    <w:rPr>
      <w:rFonts w:ascii="Times New Roman" w:cs="Times New Roman" w:eastAsia="Times New Roman" w:hAnsi="Times New Roman"/>
      <w:sz w:val="24"/>
      <w:lang w:eastAsia="ru-RU"/>
    </w:rPr>
  </w:style>
  <w:style w:type="paragraph" w:customStyle="1" w:styleId="ТаблицаШапка">
    <w:name w:val="Таблица Шапка"/>
    <w:basedOn w:val="Normal"/>
    <w:next w:val="Normal"/>
    <w:link w:val="ТаблицаШапкаЗнак"/>
    <w:uiPriority w:val="99"/>
    <w:qFormat w:val="on"/>
    <w:pPr>
      <w:pBdr>
        <w:top w:val="none" w:sz="4" w:space="0"/>
        <w:left w:val="none" w:sz="4" w:space="0"/>
        <w:bottom w:val="none" w:sz="4" w:space="0"/>
        <w:right w:val="none" w:sz="4" w:space="0"/>
        <w:between w:val="none" w:sz="4" w:space="0"/>
      </w:pBdr>
      <w:spacing w:after="0" w:line="240" w:lineRule="auto"/>
      <w:jc w:val="center"/>
    </w:pPr>
    <w:rPr>
      <w:rFonts w:ascii="Times New Roman" w:cs="Times New Roman" w:eastAsia="Times New Roman" w:hAnsi="Times New Roman"/>
      <w:b/>
      <w:bCs/>
      <w:sz w:val="24"/>
      <w:lang w:eastAsia="ru-RU"/>
    </w:rPr>
  </w:style>
  <w:style w:type="character" w:customStyle="1" w:styleId="ТаблицаШапкаЗнак">
    <w:name w:val="Таблица Шапка Знак"/>
    <w:link w:val="ТаблицаШапка"/>
    <w:uiPriority w:val="99"/>
    <w:rPr>
      <w:rFonts w:ascii="Times New Roman" w:cs="Times New Roman" w:eastAsia="Times New Roman" w:hAnsi="Times New Roman"/>
      <w:b/>
      <w:bCs/>
      <w:sz w:val="24"/>
      <w:lang w:eastAsia="ru-RU"/>
    </w:rPr>
  </w:style>
  <w:style w:type="paragraph" w:customStyle="1" w:styleId="ПриложениеНазваниетаблицы">
    <w:name w:val="Приложение Название таблицы"/>
    <w:basedOn w:val="Caption"/>
    <w:uiPriority w:val="99"/>
    <w:qFormat w:val="on"/>
    <w:pPr>
      <w:keepNext w:val="on"/>
      <w:spacing w:before="120" w:after="0"/>
    </w:pPr>
    <w:rPr>
      <w:rFonts w:ascii="Times New Roman" w:cs="Times New Roman" w:eastAsia="Calibri" w:hAnsi="Times New Roman"/>
      <w:b w:val="off"/>
      <w:color w:val="auto"/>
      <w:sz w:val="26"/>
    </w:rPr>
  </w:style>
  <w:style w:type="paragraph" w:customStyle="1" w:styleId="ПриложениеПодзаголовок">
    <w:name w:val="Приложение Подзаголовок"/>
    <w:basedOn w:val="Normal"/>
    <w:uiPriority w:val="99"/>
    <w:qFormat w:val="on"/>
    <w:pPr>
      <w:spacing w:before="120" w:after="120" w:line="276" w:lineRule="auto"/>
      <w:ind w:left="709"/>
      <w:jc w:val="both"/>
    </w:pPr>
    <w:rPr>
      <w:rFonts w:ascii="Times New Roman" w:cs="Times New Roman" w:eastAsia="Calibri" w:hAnsi="Times New Roman"/>
      <w:b/>
      <w:sz w:val="26"/>
    </w:rPr>
  </w:style>
  <w:style w:type="paragraph" w:customStyle="1" w:styleId="ПриложениеТекст">
    <w:name w:val="Приложение Текст"/>
    <w:basedOn w:val="Текстдокумента"/>
    <w:uiPriority w:val="99"/>
    <w:rPr>
      <w:sz w:val="26"/>
    </w:rPr>
  </w:style>
  <w:style w:type="paragraph" w:customStyle="1" w:styleId="ПриложениеМаркированныйсписок">
    <w:name w:val="Приложение Маркированный список"/>
    <w:basedOn w:val="ListBullet"/>
    <w:uiPriority w:val="99"/>
    <w:qFormat w:val="on"/>
    <w:rPr>
      <w:sz w:val="26"/>
    </w:rPr>
  </w:style>
  <w:style w:type="paragraph" w:styleId="ListNumber">
    <w:name w:val="List Number"/>
    <w:basedOn w:val="Normal"/>
    <w:uiPriority w:val="99"/>
    <w:unhideWhenUsed w:val="on"/>
    <w:pPr>
      <w:numPr>
        <w:ilvl w:val="0"/>
        <w:numId w:val="26"/>
      </w:numPr>
      <w:spacing w:after="0" w:line="276" w:lineRule="auto"/>
      <w:ind w:left="1134" w:hanging="425"/>
      <w:contextualSpacing w:val="on"/>
    </w:pPr>
    <w:rPr>
      <w:rFonts w:ascii="Times New Roman" w:hAnsi="Times New Roman"/>
      <w:sz w:val="28"/>
    </w:rPr>
  </w:style>
  <w:style w:type="paragraph" w:customStyle="1" w:styleId="Рисунок">
    <w:name w:val="Рисунок"/>
    <w:basedOn w:val="ListParagraph"/>
    <w:uiPriority w:val="99"/>
    <w:qFormat w:val="on"/>
    <w:pPr>
      <w:keepNext w:val="on"/>
      <w:spacing w:before="120" w:after="0" w:line="276" w:lineRule="auto"/>
      <w:ind w:left="0"/>
      <w:jc w:val="center"/>
    </w:pPr>
    <w:rPr>
      <w:rFonts w:ascii="Times New Roman" w:cs="Times New Roman" w:hAnsi="Times New Roman"/>
      <w:sz w:val="24"/>
      <w:lang w:eastAsia="ru-RU"/>
    </w:rPr>
  </w:style>
  <w:style w:type="paragraph" w:customStyle="1" w:styleId="Названиерисунка">
    <w:name w:val="Название рисунка"/>
    <w:basedOn w:val="Caption"/>
    <w:uiPriority w:val="99"/>
    <w:qFormat w:val="on"/>
    <w:pPr>
      <w:spacing w:after="120"/>
      <w:jc w:val="center"/>
    </w:pPr>
    <w:rPr>
      <w:rFonts w:ascii="Times New Roman" w:cs="Times New Roman" w:hAnsi="Times New Roman"/>
      <w:b w:val="off"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27" Type="http://schemas.openxmlformats.org/officeDocument/2006/relationships/image" Target="media/image13.pn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" Type="http://schemas.openxmlformats.org/officeDocument/2006/relationships/styles" Target="styles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" Type="http://schemas.openxmlformats.org/officeDocument/2006/relationships/settings" Target="settings.xml"/><Relationship Id="rId40" Type="http://schemas.openxmlformats.org/officeDocument/2006/relationships/image" Target="media/image24.png"/><Relationship Id="rId41" Type="http://schemas.openxmlformats.org/officeDocument/2006/relationships/footer" Target="footer3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22" Type="http://schemas.openxmlformats.org/officeDocument/2006/relationships/hyperlink" Target="mailto:skyorigis@skyori.ru" TargetMode="External"/><Relationship Id="rId23" Type="http://schemas.openxmlformats.org/officeDocument/2006/relationships/hyperlink" Target="mailto:skyorigis@skyori.ru" TargetMode="External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er2.xml.rels><?xml version="1.0" encoding="UTF-8" standalone="yes"?>
<Relationships xmlns="http://schemas.openxmlformats.org/package/2006/relationships"></Relationships>
</file>

<file path=word/_rels/footer3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Arial"/>
        <a:cs typeface="Arial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1D25A-866C-4D09-9376-E2008145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Word User</dc:creator>
  <cp:lastModifiedBy>Артём</cp:lastModifiedBy>
</cp:coreProperties>
</file>